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png" ContentType="image/png"/>
  <Override PartName="/word/media/image4.jpeg" ContentType="image/jpeg"/>
  <Override PartName="/word/media/image3.jpeg" ContentType="image/jpeg"/>
  <Override PartName="/word/media/image5.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mc:AlternateContent>
          <mc:Choice Requires="wps">
            <w:drawing>
              <wp:anchor behindDoc="0" distT="0" distB="0" distL="0" distR="0" simplePos="0" locked="0" layoutInCell="1" allowOverlap="1" relativeHeight="3">
                <wp:simplePos x="0" y="0"/>
                <wp:positionH relativeFrom="column">
                  <wp:posOffset>6007100</wp:posOffset>
                </wp:positionH>
                <wp:positionV relativeFrom="paragraph">
                  <wp:posOffset>-342265</wp:posOffset>
                </wp:positionV>
                <wp:extent cx="432435" cy="9252585"/>
                <wp:effectExtent l="0" t="0" r="6350" b="6350"/>
                <wp:wrapNone/>
                <wp:docPr id="1" name="Text Box 2"/>
                <a:graphic xmlns:a="http://schemas.openxmlformats.org/drawingml/2006/main">
                  <a:graphicData uri="http://schemas.microsoft.com/office/word/2010/wordprocessingShape">
                    <wps:wsp>
                      <wps:cNvSpPr/>
                      <wps:spPr>
                        <a:xfrm>
                          <a:off x="0" y="0"/>
                          <a:ext cx="431640" cy="9252000"/>
                        </a:xfrm>
                        <a:prstGeom prst="rect">
                          <a:avLst/>
                        </a:prstGeom>
                        <a:solidFill>
                          <a:srgbClr val="cccc66"/>
                        </a:solidFill>
                        <a:ln>
                          <a:noFill/>
                        </a:ln>
                      </wps:spPr>
                      <wps:style>
                        <a:lnRef idx="0"/>
                        <a:fillRef idx="0"/>
                        <a:effectRef idx="0"/>
                        <a:fontRef idx="minor"/>
                      </wps:style>
                      <wps:txbx>
                        <w:txbxContent>
                          <w:p>
                            <w:pPr>
                              <w:pStyle w:val="FrameContents"/>
                              <w:spacing w:before="0" w:after="200"/>
                              <w:rPr/>
                            </w:pPr>
                            <w:r>
                              <w:rPr/>
                            </w:r>
                          </w:p>
                        </w:txbxContent>
                      </wps:txbx>
                      <wps:bodyPr lIns="36720" rIns="36720" tIns="36720" bIns="36720" vert="vert" rot="5400000">
                        <a:noAutofit/>
                      </wps:bodyPr>
                    </wps:wsp>
                  </a:graphicData>
                </a:graphic>
              </wp:anchor>
            </w:drawing>
          </mc:Choice>
          <mc:Fallback>
            <w:pict>
              <v:rect id="shape_0" ID="Text Box 2" fillcolor="#cccc66" stroked="f" style="position:absolute;margin-left:473pt;margin-top:-26.95pt;width:33.95pt;height:728.45pt">
                <w10:wrap type="none"/>
                <v:fill o:detectmouseclick="t" type="solid" color2="#333399"/>
                <v:stroke color="#3465a4" joinstyle="round" endcap="flat"/>
                <v:textbox>
                  <w:txbxContent>
                    <w:p>
                      <w:pPr>
                        <w:pStyle w:val="FrameContents"/>
                        <w:spacing w:before="0" w:after="200"/>
                        <w:rPr/>
                      </w:pPr>
                      <w:r>
                        <w:rPr/>
                      </w:r>
                    </w:p>
                  </w:txbxContent>
                </v:textbox>
              </v:rect>
            </w:pict>
          </mc:Fallback>
        </mc:AlternateContent>
        <mc:AlternateContent>
          <mc:Choice Requires="wps">
            <w:drawing>
              <wp:anchor behindDoc="0" distT="0" distB="0" distL="0" distR="0" simplePos="0" locked="0" layoutInCell="1" allowOverlap="1" relativeHeight="5">
                <wp:simplePos x="0" y="0"/>
                <wp:positionH relativeFrom="column">
                  <wp:posOffset>5039995</wp:posOffset>
                </wp:positionH>
                <wp:positionV relativeFrom="paragraph">
                  <wp:posOffset>864235</wp:posOffset>
                </wp:positionV>
                <wp:extent cx="1656715" cy="2160905"/>
                <wp:effectExtent l="0" t="0" r="1270" b="0"/>
                <wp:wrapNone/>
                <wp:docPr id="3" name="Text Box 5"/>
                <a:graphic xmlns:a="http://schemas.openxmlformats.org/drawingml/2006/main">
                  <a:graphicData uri="http://schemas.microsoft.com/office/word/2010/wordprocessingShape">
                    <wps:wsp>
                      <wps:cNvSpPr/>
                      <wps:spPr>
                        <a:xfrm>
                          <a:off x="0" y="0"/>
                          <a:ext cx="1656000" cy="2160360"/>
                        </a:xfrm>
                        <a:prstGeom prst="rect">
                          <a:avLst/>
                        </a:prstGeom>
                        <a:noFill/>
                        <a:ln>
                          <a:noFill/>
                        </a:ln>
                      </wps:spPr>
                      <wps:style>
                        <a:lnRef idx="0"/>
                        <a:fillRef idx="0"/>
                        <a:effectRef idx="0"/>
                        <a:fontRef idx="minor"/>
                      </wps:style>
                      <wps:txbx>
                        <w:txbxContent>
                          <w:p>
                            <w:pPr>
                              <w:pStyle w:val="FrameContents"/>
                              <w:spacing w:before="0" w:after="200"/>
                              <w:rPr/>
                            </w:pPr>
                            <w:r>
                              <w:rPr/>
                            </w:r>
                          </w:p>
                        </w:txbxContent>
                      </wps:txbx>
                      <wps:bodyPr lIns="36720" rIns="36720" tIns="36720" bIns="36720">
                        <a:noAutofit/>
                      </wps:bodyPr>
                    </wps:wsp>
                  </a:graphicData>
                </a:graphic>
              </wp:anchor>
            </w:drawing>
          </mc:Choice>
          <mc:Fallback>
            <w:pict>
              <v:rect id="shape_0" ID="Text Box 5" stroked="f" style="position:absolute;margin-left:396.85pt;margin-top:68.05pt;width:130.35pt;height:170.05pt">
                <w10:wrap type="none"/>
                <v:fill o:detectmouseclick="t" on="false"/>
                <v:stroke color="#3465a4" joinstyle="round" endcap="flat"/>
                <v:textbox>
                  <w:txbxContent>
                    <w:p>
                      <w:pPr>
                        <w:pStyle w:val="FrameContents"/>
                        <w:spacing w:before="0" w:after="200"/>
                        <w:rPr/>
                      </w:pPr>
                      <w:r>
                        <w:rPr/>
                      </w:r>
                    </w:p>
                  </w:txbxContent>
                </v:textbox>
              </v:rect>
            </w:pict>
          </mc:Fallback>
        </mc:AlternateContent>
        <mc:AlternateContent>
          <mc:Choice Requires="wps">
            <w:drawing>
              <wp:anchor behindDoc="0" distT="0" distB="0" distL="0" distR="0" simplePos="0" locked="0" layoutInCell="1" allowOverlap="1" relativeHeight="6">
                <wp:simplePos x="0" y="0"/>
                <wp:positionH relativeFrom="column">
                  <wp:posOffset>5039995</wp:posOffset>
                </wp:positionH>
                <wp:positionV relativeFrom="paragraph">
                  <wp:posOffset>4248150</wp:posOffset>
                </wp:positionV>
                <wp:extent cx="1656715" cy="2160905"/>
                <wp:effectExtent l="0" t="0" r="1270" b="0"/>
                <wp:wrapNone/>
                <wp:docPr id="5" name="Text Box 6"/>
                <a:graphic xmlns:a="http://schemas.openxmlformats.org/drawingml/2006/main">
                  <a:graphicData uri="http://schemas.microsoft.com/office/word/2010/wordprocessingShape">
                    <wps:wsp>
                      <wps:cNvSpPr/>
                      <wps:spPr>
                        <a:xfrm>
                          <a:off x="0" y="0"/>
                          <a:ext cx="1656000" cy="2160360"/>
                        </a:xfrm>
                        <a:prstGeom prst="rect">
                          <a:avLst/>
                        </a:prstGeom>
                        <a:noFill/>
                        <a:ln>
                          <a:noFill/>
                        </a:ln>
                      </wps:spPr>
                      <wps:style>
                        <a:lnRef idx="0"/>
                        <a:fillRef idx="0"/>
                        <a:effectRef idx="0"/>
                        <a:fontRef idx="minor"/>
                      </wps:style>
                      <wps:txbx>
                        <w:txbxContent>
                          <w:p>
                            <w:pPr>
                              <w:pStyle w:val="FrameContents"/>
                              <w:spacing w:before="0" w:after="200"/>
                              <w:rPr/>
                            </w:pPr>
                            <w:r>
                              <w:rPr/>
                            </w:r>
                          </w:p>
                        </w:txbxContent>
                      </wps:txbx>
                      <wps:bodyPr lIns="36720" rIns="36720" tIns="36720" bIns="36720">
                        <a:noAutofit/>
                      </wps:bodyPr>
                    </wps:wsp>
                  </a:graphicData>
                </a:graphic>
              </wp:anchor>
            </w:drawing>
          </mc:Choice>
          <mc:Fallback>
            <w:pict>
              <v:rect id="shape_0" ID="Text Box 6" stroked="f" style="position:absolute;margin-left:396.85pt;margin-top:334.5pt;width:130.35pt;height:170.05pt">
                <w10:wrap type="none"/>
                <v:fill o:detectmouseclick="t" on="false"/>
                <v:stroke color="#3465a4" joinstyle="round" endcap="flat"/>
                <v:textbox>
                  <w:txbxContent>
                    <w:p>
                      <w:pPr>
                        <w:pStyle w:val="FrameContents"/>
                        <w:spacing w:before="0" w:after="200"/>
                        <w:rPr/>
                      </w:pPr>
                      <w:r>
                        <w:rPr/>
                      </w:r>
                    </w:p>
                  </w:txbxContent>
                </v:textbox>
              </v:rect>
            </w:pict>
          </mc:Fallback>
        </mc:AlternateContent>
        <mc:AlternateContent>
          <mc:Choice Requires="wps">
            <w:drawing>
              <wp:anchor behindDoc="0" distT="0" distB="0" distL="0" distR="0" simplePos="0" locked="0" layoutInCell="1" allowOverlap="1" relativeHeight="7">
                <wp:simplePos x="0" y="0"/>
                <wp:positionH relativeFrom="column">
                  <wp:posOffset>5039995</wp:posOffset>
                </wp:positionH>
                <wp:positionV relativeFrom="paragraph">
                  <wp:posOffset>7199630</wp:posOffset>
                </wp:positionV>
                <wp:extent cx="1656715" cy="2160905"/>
                <wp:effectExtent l="0" t="0" r="1270" b="0"/>
                <wp:wrapNone/>
                <wp:docPr id="7" name="Text Box 7"/>
                <a:graphic xmlns:a="http://schemas.openxmlformats.org/drawingml/2006/main">
                  <a:graphicData uri="http://schemas.microsoft.com/office/word/2010/wordprocessingShape">
                    <wps:wsp>
                      <wps:cNvSpPr/>
                      <wps:spPr>
                        <a:xfrm>
                          <a:off x="0" y="0"/>
                          <a:ext cx="1656000" cy="2160360"/>
                        </a:xfrm>
                        <a:prstGeom prst="rect">
                          <a:avLst/>
                        </a:prstGeom>
                        <a:noFill/>
                        <a:ln>
                          <a:noFill/>
                        </a:ln>
                      </wps:spPr>
                      <wps:style>
                        <a:lnRef idx="0"/>
                        <a:fillRef idx="0"/>
                        <a:effectRef idx="0"/>
                        <a:fontRef idx="minor"/>
                      </wps:style>
                      <wps:txbx>
                        <w:txbxContent>
                          <w:p>
                            <w:pPr>
                              <w:pStyle w:val="FrameContents"/>
                              <w:spacing w:before="0" w:after="200"/>
                              <w:rPr/>
                            </w:pPr>
                            <w:r>
                              <w:rPr/>
                            </w:r>
                          </w:p>
                        </w:txbxContent>
                      </wps:txbx>
                      <wps:bodyPr lIns="36720" rIns="36720" tIns="36720" bIns="36720">
                        <a:noAutofit/>
                      </wps:bodyPr>
                    </wps:wsp>
                  </a:graphicData>
                </a:graphic>
              </wp:anchor>
            </w:drawing>
          </mc:Choice>
          <mc:Fallback>
            <w:pict>
              <v:rect id="shape_0" ID="Text Box 7" stroked="f" style="position:absolute;margin-left:396.85pt;margin-top:566.9pt;width:130.35pt;height:170.05pt">
                <w10:wrap type="none"/>
                <v:fill o:detectmouseclick="t" on="false"/>
                <v:stroke color="#3465a4" joinstyle="round" endcap="flat"/>
                <v:textbox>
                  <w:txbxContent>
                    <w:p>
                      <w:pPr>
                        <w:pStyle w:val="FrameContents"/>
                        <w:spacing w:before="0" w:after="200"/>
                        <w:rPr/>
                      </w:pPr>
                      <w:r>
                        <w:rPr/>
                      </w:r>
                    </w:p>
                  </w:txbxContent>
                </v:textbox>
              </v:rect>
            </w:pict>
          </mc:Fallback>
        </mc:AlternateContent>
        <mc:AlternateContent>
          <mc:Choice Requires="wps">
            <w:drawing>
              <wp:anchor behindDoc="0" distT="0" distB="0" distL="0" distR="0" simplePos="0" locked="0" layoutInCell="1" allowOverlap="1" relativeHeight="8">
                <wp:simplePos x="0" y="0"/>
                <wp:positionH relativeFrom="column">
                  <wp:posOffset>3981450</wp:posOffset>
                </wp:positionH>
                <wp:positionV relativeFrom="paragraph">
                  <wp:posOffset>-342265</wp:posOffset>
                </wp:positionV>
                <wp:extent cx="1944370" cy="9252585"/>
                <wp:effectExtent l="0" t="0" r="0" b="6350"/>
                <wp:wrapNone/>
                <wp:docPr id="9" name="Text Box 4"/>
                <a:graphic xmlns:a="http://schemas.openxmlformats.org/drawingml/2006/main">
                  <a:graphicData uri="http://schemas.microsoft.com/office/word/2010/wordprocessingShape">
                    <wps:wsp>
                      <wps:cNvSpPr/>
                      <wps:spPr>
                        <a:xfrm>
                          <a:off x="0" y="0"/>
                          <a:ext cx="1943640" cy="9252000"/>
                        </a:xfrm>
                        <a:prstGeom prst="rect">
                          <a:avLst/>
                        </a:prstGeom>
                        <a:solidFill>
                          <a:srgbClr val="cccccc"/>
                        </a:solidFill>
                        <a:ln>
                          <a:noFill/>
                        </a:ln>
                      </wps:spPr>
                      <wps:style>
                        <a:lnRef idx="0"/>
                        <a:fillRef idx="0"/>
                        <a:effectRef idx="0"/>
                        <a:fontRef idx="minor"/>
                      </wps:style>
                      <wps:txbx>
                        <w:txbxContent>
                          <w:p>
                            <w:pPr>
                              <w:pStyle w:val="FrameContents"/>
                              <w:widowControl w:val="false"/>
                              <w:rPr/>
                            </w:pPr>
                            <w:r>
                              <w:rPr/>
                              <w:t> </w:t>
                            </w:r>
                          </w:p>
                          <w:p>
                            <w:pPr>
                              <w:pStyle w:val="FrameContents"/>
                              <w:widowControl w:val="false"/>
                              <w:rPr/>
                            </w:pPr>
                            <w:r>
                              <w:rPr/>
                              <w:t> </w:t>
                            </w:r>
                          </w:p>
                          <w:p>
                            <w:pPr>
                              <w:pStyle w:val="FrameContents"/>
                              <w:widowControl w:val="false"/>
                              <w:rPr/>
                            </w:pPr>
                            <w:r>
                              <w:rPr/>
                              <w:t> </w:t>
                            </w:r>
                          </w:p>
                          <w:p>
                            <w:pPr>
                              <w:pStyle w:val="FrameContents"/>
                              <w:widowControl w:val="false"/>
                              <w:rPr/>
                            </w:pPr>
                            <w:r>
                              <w:rPr/>
                              <w:t> </w:t>
                            </w:r>
                          </w:p>
                          <w:p>
                            <w:pPr>
                              <w:pStyle w:val="FrameContents"/>
                              <w:widowControl w:val="false"/>
                              <w:rPr/>
                            </w:pPr>
                            <w:r>
                              <w:rPr/>
                              <w:t> </w:t>
                            </w:r>
                          </w:p>
                          <w:p>
                            <w:pPr>
                              <w:pStyle w:val="FrameContents"/>
                              <w:widowControl w:val="false"/>
                              <w:rPr/>
                            </w:pPr>
                            <w:r>
                              <w:rPr/>
                              <w:t> </w:t>
                            </w:r>
                          </w:p>
                          <w:p>
                            <w:pPr>
                              <w:pStyle w:val="FrameContents"/>
                              <w:widowControl w:val="false"/>
                              <w:spacing w:before="0" w:after="200"/>
                              <w:rPr/>
                            </w:pPr>
                            <w:r>
                              <w:rPr/>
                              <w:t> </w:t>
                            </w:r>
                          </w:p>
                        </w:txbxContent>
                      </wps:txbx>
                      <wps:bodyPr lIns="36720" rIns="36720" tIns="36720" bIns="36720">
                        <a:noAutofit/>
                      </wps:bodyPr>
                    </wps:wsp>
                  </a:graphicData>
                </a:graphic>
              </wp:anchor>
            </w:drawing>
          </mc:Choice>
          <mc:Fallback>
            <w:pict>
              <v:rect id="shape_0" ID="Text Box 4" fillcolor="#cccccc" stroked="f" style="position:absolute;margin-left:313.5pt;margin-top:-26.95pt;width:153pt;height:728.45pt">
                <w10:wrap type="square"/>
                <v:fill o:detectmouseclick="t" type="solid" color2="#333333"/>
                <v:stroke color="#3465a4" joinstyle="round" endcap="flat"/>
                <v:textbox>
                  <w:txbxContent>
                    <w:p>
                      <w:pPr>
                        <w:pStyle w:val="FrameContents"/>
                        <w:widowControl w:val="false"/>
                        <w:rPr/>
                      </w:pPr>
                      <w:r>
                        <w:rPr/>
                        <w:t> </w:t>
                      </w:r>
                    </w:p>
                    <w:p>
                      <w:pPr>
                        <w:pStyle w:val="FrameContents"/>
                        <w:widowControl w:val="false"/>
                        <w:rPr/>
                      </w:pPr>
                      <w:r>
                        <w:rPr/>
                        <w:t> </w:t>
                      </w:r>
                    </w:p>
                    <w:p>
                      <w:pPr>
                        <w:pStyle w:val="FrameContents"/>
                        <w:widowControl w:val="false"/>
                        <w:rPr/>
                      </w:pPr>
                      <w:r>
                        <w:rPr/>
                        <w:t> </w:t>
                      </w:r>
                    </w:p>
                    <w:p>
                      <w:pPr>
                        <w:pStyle w:val="FrameContents"/>
                        <w:widowControl w:val="false"/>
                        <w:rPr/>
                      </w:pPr>
                      <w:r>
                        <w:rPr/>
                        <w:t> </w:t>
                      </w:r>
                    </w:p>
                    <w:p>
                      <w:pPr>
                        <w:pStyle w:val="FrameContents"/>
                        <w:widowControl w:val="false"/>
                        <w:rPr/>
                      </w:pPr>
                      <w:r>
                        <w:rPr/>
                        <w:t> </w:t>
                      </w:r>
                    </w:p>
                    <w:p>
                      <w:pPr>
                        <w:pStyle w:val="FrameContents"/>
                        <w:widowControl w:val="false"/>
                        <w:rPr/>
                      </w:pPr>
                      <w:r>
                        <w:rPr/>
                        <w:t> </w:t>
                      </w:r>
                    </w:p>
                    <w:p>
                      <w:pPr>
                        <w:pStyle w:val="FrameContents"/>
                        <w:widowControl w:val="false"/>
                        <w:spacing w:before="0" w:after="200"/>
                        <w:rPr/>
                      </w:pPr>
                      <w:r>
                        <w:rPr/>
                        <w:t> </w:t>
                      </w:r>
                    </w:p>
                  </w:txbxContent>
                </v:textbox>
              </v:rect>
            </w:pict>
          </mc:Fallback>
        </mc:AlternateContent>
        <mc:AlternateContent>
          <mc:Choice Requires="wps">
            <w:drawing>
              <wp:anchor behindDoc="0" distT="0" distB="0" distL="0" distR="0" simplePos="0" locked="0" layoutInCell="1" allowOverlap="1" relativeHeight="9">
                <wp:simplePos x="0" y="0"/>
                <wp:positionH relativeFrom="column">
                  <wp:posOffset>-69215</wp:posOffset>
                </wp:positionH>
                <wp:positionV relativeFrom="paragraph">
                  <wp:posOffset>228600</wp:posOffset>
                </wp:positionV>
                <wp:extent cx="3632835" cy="8458835"/>
                <wp:effectExtent l="0" t="0" r="6350" b="0"/>
                <wp:wrapNone/>
                <wp:docPr id="11" name="Text Box 8"/>
                <a:graphic xmlns:a="http://schemas.openxmlformats.org/drawingml/2006/main">
                  <a:graphicData uri="http://schemas.microsoft.com/office/word/2010/wordprocessingShape">
                    <wps:wsp>
                      <wps:cNvSpPr/>
                      <wps:spPr>
                        <a:xfrm>
                          <a:off x="0" y="0"/>
                          <a:ext cx="3632040" cy="8458200"/>
                        </a:xfrm>
                        <a:prstGeom prst="rect">
                          <a:avLst/>
                        </a:prstGeom>
                        <a:noFill/>
                        <a:ln>
                          <a:noFill/>
                        </a:ln>
                      </wps:spPr>
                      <wps:style>
                        <a:lnRef idx="0"/>
                        <a:fillRef idx="0"/>
                        <a:effectRef idx="0"/>
                        <a:fontRef idx="minor"/>
                      </wps:style>
                      <wps:txbx>
                        <w:txbxContent>
                          <w:p>
                            <w:pPr>
                              <w:pStyle w:val="FrameContents"/>
                              <w:jc w:val="center"/>
                              <w:rPr>
                                <w:b/>
                                <w:b/>
                                <w:sz w:val="52"/>
                                <w:szCs w:val="52"/>
                              </w:rPr>
                            </w:pPr>
                            <w:r>
                              <w:rPr>
                                <w:b/>
                                <w:sz w:val="52"/>
                                <w:szCs w:val="52"/>
                              </w:rPr>
                              <w:t>Court Wood</w:t>
                            </w:r>
                          </w:p>
                          <w:p>
                            <w:pPr>
                              <w:pStyle w:val="FrameContents"/>
                              <w:jc w:val="center"/>
                              <w:rPr>
                                <w:b/>
                                <w:b/>
                                <w:sz w:val="52"/>
                                <w:szCs w:val="52"/>
                              </w:rPr>
                            </w:pPr>
                            <w:r>
                              <w:rPr>
                                <w:b/>
                                <w:sz w:val="52"/>
                                <w:szCs w:val="52"/>
                              </w:rPr>
                              <w:t>Management Plan</w:t>
                            </w:r>
                          </w:p>
                          <w:p>
                            <w:pPr>
                              <w:pStyle w:val="FrameContents"/>
                              <w:jc w:val="center"/>
                              <w:rPr>
                                <w:b/>
                                <w:b/>
                                <w:sz w:val="52"/>
                                <w:szCs w:val="52"/>
                              </w:rPr>
                            </w:pPr>
                            <w:r>
                              <w:rPr>
                                <w:b/>
                                <w:sz w:val="52"/>
                                <w:szCs w:val="52"/>
                              </w:rPr>
                              <w:t>2015-2025</w:t>
                            </w:r>
                          </w:p>
                          <w:p>
                            <w:pPr>
                              <w:pStyle w:val="FrameContents"/>
                              <w:rPr/>
                            </w:pPr>
                            <w:r>
                              <w:rPr/>
                            </w:r>
                          </w:p>
                          <w:p>
                            <w:pPr>
                              <w:pStyle w:val="FrameContents"/>
                              <w:rPr/>
                            </w:pPr>
                            <w:r>
                              <w:rPr/>
                            </w:r>
                          </w:p>
                          <w:p>
                            <w:pPr>
                              <w:pStyle w:val="FrameContents"/>
                              <w:rPr/>
                            </w:pPr>
                            <w:r>
                              <w:rPr/>
                            </w:r>
                          </w:p>
                          <w:p>
                            <w:pPr>
                              <w:pStyle w:val="FrameContents"/>
                              <w:rPr/>
                            </w:pPr>
                            <w:r>
                              <w:rPr/>
                            </w:r>
                          </w:p>
                          <w:p>
                            <w:pPr>
                              <w:pStyle w:val="FrameContents"/>
                              <w:rPr/>
                            </w:pPr>
                            <w:r>
                              <w:rPr/>
                            </w:r>
                          </w:p>
                          <w:p>
                            <w:pPr>
                              <w:pStyle w:val="FrameContents"/>
                              <w:rPr/>
                            </w:pPr>
                            <w:r>
                              <w:rPr/>
                            </w:r>
                          </w:p>
                          <w:p>
                            <w:pPr>
                              <w:pStyle w:val="FrameContents"/>
                              <w:rPr/>
                            </w:pPr>
                            <w:r>
                              <w:rPr/>
                            </w:r>
                          </w:p>
                          <w:p>
                            <w:pPr>
                              <w:pStyle w:val="FrameContents"/>
                              <w:rPr/>
                            </w:pPr>
                            <w:r>
                              <w:rPr/>
                            </w:r>
                          </w:p>
                          <w:p>
                            <w:pPr>
                              <w:pStyle w:val="FrameContents"/>
                              <w:rPr/>
                            </w:pPr>
                            <w:r>
                              <w:rPr/>
                            </w:r>
                          </w:p>
                          <w:p>
                            <w:pPr>
                              <w:pStyle w:val="FrameContents"/>
                              <w:rPr/>
                            </w:pPr>
                            <w:r>
                              <w:rPr/>
                            </w:r>
                          </w:p>
                          <w:p>
                            <w:pPr>
                              <w:pStyle w:val="FrameContents"/>
                              <w:rPr/>
                            </w:pPr>
                            <w:r>
                              <w:rPr/>
                            </w:r>
                          </w:p>
                          <w:p>
                            <w:pPr>
                              <w:pStyle w:val="FrameContents"/>
                              <w:rPr/>
                            </w:pPr>
                            <w:r>
                              <w:rPr/>
                            </w:r>
                          </w:p>
                          <w:p>
                            <w:pPr>
                              <w:pStyle w:val="FrameContents"/>
                              <w:rPr>
                                <w:lang w:val="en-US"/>
                              </w:rPr>
                            </w:pPr>
                            <w:r>
                              <w:rPr/>
                              <w:tab/>
                              <w:tab/>
                            </w:r>
                            <w:r>
                              <w:rPr>
                                <w:lang w:val="en-US"/>
                              </w:rPr>
                              <w:t>Prepare on behald of</w:t>
                            </w:r>
                          </w:p>
                          <w:p>
                            <w:pPr>
                              <w:pStyle w:val="FrameContents"/>
                              <w:rPr>
                                <w:lang w:val="en-US"/>
                              </w:rPr>
                            </w:pPr>
                            <w:r>
                              <w:rPr>
                                <w:lang w:val="en-US"/>
                              </w:rPr>
                              <w:t>By</w:t>
                            </w:r>
                          </w:p>
                          <w:p>
                            <w:pPr>
                              <w:pStyle w:val="FrameContents"/>
                              <w:rPr/>
                            </w:pPr>
                            <w:r>
                              <w:rPr>
                                <w:lang w:val="en-US"/>
                              </w:rPr>
                              <w:t>Gareth Ellis – Community Projects Manager</w:t>
                            </w:r>
                          </w:p>
                          <w:p>
                            <w:pPr>
                              <w:pStyle w:val="FrameContents"/>
                              <w:rPr/>
                            </w:pPr>
                            <w:r>
                              <w:rPr/>
                            </w:r>
                          </w:p>
                          <w:p>
                            <w:pPr>
                              <w:pStyle w:val="FrameContents"/>
                              <w:spacing w:before="0" w:after="200"/>
                              <w:rPr/>
                            </w:pPr>
                            <w:r>
                              <w:rPr/>
                              <w:tab/>
                              <w:tab/>
                            </w:r>
                            <w:r>
                              <w:rPr/>
                              <w:drawing>
                                <wp:inline distT="0" distB="0" distL="0" distR="0">
                                  <wp:extent cx="1793240" cy="772795"/>
                                  <wp:effectExtent l="0" t="0" r="0" b="0"/>
                                  <wp:docPr id="13"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descr=""/>
                                          <pic:cNvPicPr>
                                            <a:picLocks noChangeAspect="1" noChangeArrowheads="1"/>
                                          </pic:cNvPicPr>
                                        </pic:nvPicPr>
                                        <pic:blipFill>
                                          <a:blip r:embed="rId2"/>
                                          <a:stretch>
                                            <a:fillRect/>
                                          </a:stretch>
                                        </pic:blipFill>
                                        <pic:spPr bwMode="auto">
                                          <a:xfrm>
                                            <a:off x="0" y="0"/>
                                            <a:ext cx="1793240" cy="772795"/>
                                          </a:xfrm>
                                          <a:prstGeom prst="rect">
                                            <a:avLst/>
                                          </a:prstGeom>
                                        </pic:spPr>
                                      </pic:pic>
                                    </a:graphicData>
                                  </a:graphic>
                                </wp:inline>
                              </w:drawing>
                            </w:r>
                          </w:p>
                        </w:txbxContent>
                      </wps:txbx>
                      <wps:bodyPr lIns="36720" rIns="36720" tIns="36720" bIns="36720">
                        <a:noAutofit/>
                      </wps:bodyPr>
                    </wps:wsp>
                  </a:graphicData>
                </a:graphic>
              </wp:anchor>
            </w:drawing>
          </mc:Choice>
          <mc:Fallback>
            <w:pict>
              <v:rect id="shape_0" ID="Text Box 8" stroked="f" style="position:absolute;margin-left:-5.45pt;margin-top:18pt;width:285.95pt;height:665.95pt">
                <w10:wrap type="square"/>
                <v:fill o:detectmouseclick="t" on="false"/>
                <v:stroke color="#3465a4" joinstyle="round" endcap="flat"/>
                <v:textbox>
                  <w:txbxContent>
                    <w:p>
                      <w:pPr>
                        <w:pStyle w:val="FrameContents"/>
                        <w:jc w:val="center"/>
                        <w:rPr>
                          <w:b/>
                          <w:b/>
                          <w:sz w:val="52"/>
                          <w:szCs w:val="52"/>
                        </w:rPr>
                      </w:pPr>
                      <w:r>
                        <w:rPr>
                          <w:b/>
                          <w:sz w:val="52"/>
                          <w:szCs w:val="52"/>
                        </w:rPr>
                        <w:t>Court Wood</w:t>
                      </w:r>
                    </w:p>
                    <w:p>
                      <w:pPr>
                        <w:pStyle w:val="FrameContents"/>
                        <w:jc w:val="center"/>
                        <w:rPr>
                          <w:b/>
                          <w:b/>
                          <w:sz w:val="52"/>
                          <w:szCs w:val="52"/>
                        </w:rPr>
                      </w:pPr>
                      <w:r>
                        <w:rPr>
                          <w:b/>
                          <w:sz w:val="52"/>
                          <w:szCs w:val="52"/>
                        </w:rPr>
                        <w:t>Management Plan</w:t>
                      </w:r>
                    </w:p>
                    <w:p>
                      <w:pPr>
                        <w:pStyle w:val="FrameContents"/>
                        <w:jc w:val="center"/>
                        <w:rPr>
                          <w:b/>
                          <w:b/>
                          <w:sz w:val="52"/>
                          <w:szCs w:val="52"/>
                        </w:rPr>
                      </w:pPr>
                      <w:r>
                        <w:rPr>
                          <w:b/>
                          <w:sz w:val="52"/>
                          <w:szCs w:val="52"/>
                        </w:rPr>
                        <w:t>2015-2025</w:t>
                      </w:r>
                    </w:p>
                    <w:p>
                      <w:pPr>
                        <w:pStyle w:val="FrameContents"/>
                        <w:rPr/>
                      </w:pPr>
                      <w:r>
                        <w:rPr/>
                      </w:r>
                    </w:p>
                    <w:p>
                      <w:pPr>
                        <w:pStyle w:val="FrameContents"/>
                        <w:rPr/>
                      </w:pPr>
                      <w:r>
                        <w:rPr/>
                      </w:r>
                    </w:p>
                    <w:p>
                      <w:pPr>
                        <w:pStyle w:val="FrameContents"/>
                        <w:rPr/>
                      </w:pPr>
                      <w:r>
                        <w:rPr/>
                      </w:r>
                    </w:p>
                    <w:p>
                      <w:pPr>
                        <w:pStyle w:val="FrameContents"/>
                        <w:rPr/>
                      </w:pPr>
                      <w:r>
                        <w:rPr/>
                      </w:r>
                    </w:p>
                    <w:p>
                      <w:pPr>
                        <w:pStyle w:val="FrameContents"/>
                        <w:rPr/>
                      </w:pPr>
                      <w:r>
                        <w:rPr/>
                      </w:r>
                    </w:p>
                    <w:p>
                      <w:pPr>
                        <w:pStyle w:val="FrameContents"/>
                        <w:rPr/>
                      </w:pPr>
                      <w:r>
                        <w:rPr/>
                      </w:r>
                    </w:p>
                    <w:p>
                      <w:pPr>
                        <w:pStyle w:val="FrameContents"/>
                        <w:rPr/>
                      </w:pPr>
                      <w:r>
                        <w:rPr/>
                      </w:r>
                    </w:p>
                    <w:p>
                      <w:pPr>
                        <w:pStyle w:val="FrameContents"/>
                        <w:rPr/>
                      </w:pPr>
                      <w:r>
                        <w:rPr/>
                      </w:r>
                    </w:p>
                    <w:p>
                      <w:pPr>
                        <w:pStyle w:val="FrameContents"/>
                        <w:rPr/>
                      </w:pPr>
                      <w:r>
                        <w:rPr/>
                      </w:r>
                    </w:p>
                    <w:p>
                      <w:pPr>
                        <w:pStyle w:val="FrameContents"/>
                        <w:rPr/>
                      </w:pPr>
                      <w:r>
                        <w:rPr/>
                      </w:r>
                    </w:p>
                    <w:p>
                      <w:pPr>
                        <w:pStyle w:val="FrameContents"/>
                        <w:rPr/>
                      </w:pPr>
                      <w:r>
                        <w:rPr/>
                      </w:r>
                    </w:p>
                    <w:p>
                      <w:pPr>
                        <w:pStyle w:val="FrameContents"/>
                        <w:rPr/>
                      </w:pPr>
                      <w:r>
                        <w:rPr/>
                      </w:r>
                    </w:p>
                    <w:p>
                      <w:pPr>
                        <w:pStyle w:val="FrameContents"/>
                        <w:rPr>
                          <w:lang w:val="en-US"/>
                        </w:rPr>
                      </w:pPr>
                      <w:r>
                        <w:rPr/>
                        <w:tab/>
                        <w:tab/>
                      </w:r>
                      <w:r>
                        <w:rPr>
                          <w:lang w:val="en-US"/>
                        </w:rPr>
                        <w:t>Prepare on behald of</w:t>
                      </w:r>
                    </w:p>
                    <w:p>
                      <w:pPr>
                        <w:pStyle w:val="FrameContents"/>
                        <w:rPr>
                          <w:lang w:val="en-US"/>
                        </w:rPr>
                      </w:pPr>
                      <w:r>
                        <w:rPr>
                          <w:lang w:val="en-US"/>
                        </w:rPr>
                        <w:t>By</w:t>
                      </w:r>
                    </w:p>
                    <w:p>
                      <w:pPr>
                        <w:pStyle w:val="FrameContents"/>
                        <w:rPr/>
                      </w:pPr>
                      <w:r>
                        <w:rPr>
                          <w:lang w:val="en-US"/>
                        </w:rPr>
                        <w:t>Gareth Ellis – Community Projects Manager</w:t>
                      </w:r>
                    </w:p>
                    <w:p>
                      <w:pPr>
                        <w:pStyle w:val="FrameContents"/>
                        <w:rPr/>
                      </w:pPr>
                      <w:r>
                        <w:rPr/>
                      </w:r>
                    </w:p>
                    <w:p>
                      <w:pPr>
                        <w:pStyle w:val="FrameContents"/>
                        <w:spacing w:before="0" w:after="200"/>
                        <w:rPr/>
                      </w:pPr>
                      <w:r>
                        <w:rPr/>
                        <w:tab/>
                        <w:tab/>
                      </w:r>
                      <w:r>
                        <w:rPr/>
                        <w:drawing>
                          <wp:inline distT="0" distB="0" distL="0" distR="0">
                            <wp:extent cx="1793240" cy="772795"/>
                            <wp:effectExtent l="0" t="0" r="0" b="0"/>
                            <wp:docPr id="14"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descr=""/>
                                    <pic:cNvPicPr>
                                      <a:picLocks noChangeAspect="1" noChangeArrowheads="1"/>
                                    </pic:cNvPicPr>
                                  </pic:nvPicPr>
                                  <pic:blipFill>
                                    <a:blip r:embed="rId2"/>
                                    <a:stretch>
                                      <a:fillRect/>
                                    </a:stretch>
                                  </pic:blipFill>
                                  <pic:spPr bwMode="auto">
                                    <a:xfrm>
                                      <a:off x="0" y="0"/>
                                      <a:ext cx="1793240" cy="772795"/>
                                    </a:xfrm>
                                    <a:prstGeom prst="rect">
                                      <a:avLst/>
                                    </a:prstGeom>
                                  </pic:spPr>
                                </pic:pic>
                              </a:graphicData>
                            </a:graphic>
                          </wp:inline>
                        </w:drawing>
                      </w:r>
                    </w:p>
                  </w:txbxContent>
                </v:textbox>
              </v:rect>
            </w:pict>
          </mc:Fallback>
        </mc:AlternateContent>
        <w:drawing>
          <wp:anchor behindDoc="0" distT="0" distB="0" distL="0" distR="0" simplePos="0" locked="0" layoutInCell="1" allowOverlap="1" relativeHeight="2">
            <wp:simplePos x="0" y="0"/>
            <wp:positionH relativeFrom="column">
              <wp:posOffset>-279400</wp:posOffset>
            </wp:positionH>
            <wp:positionV relativeFrom="paragraph">
              <wp:posOffset>-342900</wp:posOffset>
            </wp:positionV>
            <wp:extent cx="4126865" cy="9248775"/>
            <wp:effectExtent l="0" t="0" r="0" b="0"/>
            <wp:wrapNone/>
            <wp:docPr id="15" name="Picture 8" descr="Picture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descr="Picture 009"/>
                    <pic:cNvPicPr>
                      <a:picLocks noChangeAspect="1" noChangeArrowheads="1"/>
                    </pic:cNvPicPr>
                  </pic:nvPicPr>
                  <pic:blipFill>
                    <a:blip r:embed="rId3">
                      <a:grayscl/>
                    </a:blip>
                    <a:srcRect l="7249" t="0" r="33495" b="300"/>
                    <a:stretch>
                      <a:fillRect/>
                    </a:stretch>
                  </pic:blipFill>
                  <pic:spPr bwMode="auto">
                    <a:xfrm>
                      <a:off x="0" y="0"/>
                      <a:ext cx="4126865" cy="9248775"/>
                    </a:xfrm>
                    <a:prstGeom prst="rect">
                      <a:avLst/>
                    </a:prstGeom>
                  </pic:spPr>
                </pic:pic>
              </a:graphicData>
            </a:graphic>
          </wp:anchor>
        </w:drawing>
      </w:r>
      <w:bookmarkStart w:id="0" w:name="_GoBack"/>
      <w:bookmarkStart w:id="1" w:name="_GoBack"/>
      <w:bookmarkEnd w:id="1"/>
    </w:p>
    <w:p>
      <w:pPr>
        <w:pStyle w:val="Normal"/>
        <w:rPr>
          <w:b/>
          <w:b/>
          <w:sz w:val="40"/>
          <w:szCs w:val="40"/>
        </w:rPr>
      </w:pPr>
      <w:r>
        <w:rPr>
          <w:b/>
          <w:sz w:val="40"/>
          <w:szCs w:val="40"/>
        </w:rPr>
        <w:b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mc:AlternateContent>
          <mc:Choice Requires="wps">
            <w:drawing>
              <wp:anchor behindDoc="0" distT="0" distB="0" distL="0" distR="0" simplePos="0" locked="0" layoutInCell="1" allowOverlap="1" relativeHeight="4">
                <wp:simplePos x="0" y="0"/>
                <wp:positionH relativeFrom="column">
                  <wp:posOffset>4330700</wp:posOffset>
                </wp:positionH>
                <wp:positionV relativeFrom="paragraph">
                  <wp:posOffset>190500</wp:posOffset>
                </wp:positionV>
                <wp:extent cx="1247140" cy="6737985"/>
                <wp:effectExtent l="0" t="0" r="0" b="6350"/>
                <wp:wrapNone/>
                <wp:docPr id="16" name="Text Box 3"/>
                <a:graphic xmlns:a="http://schemas.openxmlformats.org/drawingml/2006/main">
                  <a:graphicData uri="http://schemas.microsoft.com/office/word/2010/wordprocessingShape">
                    <wps:wsp>
                      <wps:cNvSpPr/>
                      <wps:spPr>
                        <a:xfrm>
                          <a:off x="0" y="0"/>
                          <a:ext cx="1246680" cy="6737400"/>
                        </a:xfrm>
                        <a:prstGeom prst="rect">
                          <a:avLst/>
                        </a:prstGeom>
                        <a:solidFill>
                          <a:srgbClr val="ffffff"/>
                        </a:solidFill>
                        <a:ln>
                          <a:noFill/>
                        </a:ln>
                      </wps:spPr>
                      <wps:style>
                        <a:lnRef idx="0"/>
                        <a:fillRef idx="0"/>
                        <a:effectRef idx="0"/>
                        <a:fontRef idx="minor"/>
                      </wps:style>
                      <wps:txbx>
                        <w:txbxContent>
                          <w:p>
                            <w:pPr>
                              <w:pStyle w:val="FrameContents"/>
                              <w:spacing w:before="0" w:after="200"/>
                              <w:rPr/>
                            </w:pPr>
                            <w:r>
                              <w:rPr/>
                            </w:r>
                          </w:p>
                        </w:txbxContent>
                      </wps:txbx>
                      <wps:bodyPr lIns="36720" rIns="36720" tIns="36720" bIns="36720">
                        <a:noAutofit/>
                      </wps:bodyPr>
                    </wps:wsp>
                  </a:graphicData>
                </a:graphic>
              </wp:anchor>
            </w:drawing>
          </mc:Choice>
          <mc:Fallback>
            <w:pict>
              <v:rect id="shape_0" ID="Text Box 3" fillcolor="white" stroked="f" style="position:absolute;margin-left:341pt;margin-top:15pt;width:98.1pt;height:530.45pt">
                <w10:wrap type="none"/>
                <v:fill o:detectmouseclick="t" type="solid" color2="black"/>
                <v:stroke color="#3465a4" joinstyle="round" endcap="flat"/>
                <v:textbox>
                  <w:txbxContent>
                    <w:p>
                      <w:pPr>
                        <w:pStyle w:val="FrameContents"/>
                        <w:spacing w:before="0" w:after="200"/>
                        <w:rPr/>
                      </w:pPr>
                      <w:r>
                        <w:rPr/>
                      </w:r>
                    </w:p>
                  </w:txbxContent>
                </v:textbox>
              </v:rect>
            </w:pict>
          </mc:Fallback>
        </mc:AlternateContent>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drawing>
          <wp:inline distT="0" distB="0" distL="0" distR="0">
            <wp:extent cx="1535430" cy="1508760"/>
            <wp:effectExtent l="0" t="0" r="0" b="0"/>
            <wp:docPr id="18" name="Picture 6" descr="Macintosh HD:Users:garethellis:Desktop:560582_388827671154118_18538594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descr="Macintosh HD:Users:garethellis:Desktop:560582_388827671154118_1853859498_n.jpg"/>
                    <pic:cNvPicPr>
                      <a:picLocks noChangeAspect="1" noChangeArrowheads="1"/>
                    </pic:cNvPicPr>
                  </pic:nvPicPr>
                  <pic:blipFill>
                    <a:blip r:embed="rId4"/>
                    <a:stretch>
                      <a:fillRect/>
                    </a:stretch>
                  </pic:blipFill>
                  <pic:spPr bwMode="auto">
                    <a:xfrm>
                      <a:off x="0" y="0"/>
                      <a:ext cx="1535430" cy="1508760"/>
                    </a:xfrm>
                    <a:prstGeom prst="rect">
                      <a:avLst/>
                    </a:prstGeom>
                  </pic:spPr>
                </pic:pic>
              </a:graphicData>
            </a:graphic>
          </wp:inline>
        </w:drawing>
      </w:r>
      <w:r>
        <w:rPr/>
        <w:drawing>
          <wp:inline distT="0" distB="0" distL="0" distR="0">
            <wp:extent cx="1767840" cy="1737360"/>
            <wp:effectExtent l="0" t="0" r="0" b="0"/>
            <wp:docPr id="19" name="Picture 7" descr="Macintosh HD:Users:garethellis:Desktop:560582_388827671154118_18538594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descr="Macintosh HD:Users:garethellis:Desktop:560582_388827671154118_1853859498_n.jpg"/>
                    <pic:cNvPicPr>
                      <a:picLocks noChangeAspect="1" noChangeArrowheads="1"/>
                    </pic:cNvPicPr>
                  </pic:nvPicPr>
                  <pic:blipFill>
                    <a:blip r:embed="rId5"/>
                    <a:stretch>
                      <a:fillRect/>
                    </a:stretch>
                  </pic:blipFill>
                  <pic:spPr bwMode="auto">
                    <a:xfrm>
                      <a:off x="0" y="0"/>
                      <a:ext cx="1767840" cy="1737360"/>
                    </a:xfrm>
                    <a:prstGeom prst="rect">
                      <a:avLst/>
                    </a:prstGeom>
                  </pic:spPr>
                </pic:pic>
              </a:graphicData>
            </a:graphic>
          </wp:inline>
        </w:drawing>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t>Court Wood, Crucorney</w:t>
      </w:r>
    </w:p>
    <w:p>
      <w:pPr>
        <w:pStyle w:val="Normal"/>
        <w:rPr>
          <w:b/>
          <w:b/>
        </w:rPr>
      </w:pPr>
      <w:r>
        <w:rPr>
          <w:b/>
        </w:rPr>
        <w:t>Vision</w:t>
      </w:r>
    </w:p>
    <w:p>
      <w:pPr>
        <w:pStyle w:val="Normal"/>
        <w:rPr>
          <w:b/>
          <w:b/>
        </w:rPr>
      </w:pPr>
      <w:r>
        <w:rPr>
          <w:b/>
        </w:rPr>
        <w:t xml:space="preserve">To form a woodland of quality oak trees and create an understory of coppiced species beneath the oak canopy. </w:t>
      </w:r>
    </w:p>
    <w:p>
      <w:pPr>
        <w:pStyle w:val="Normal"/>
        <w:rPr>
          <w:b/>
          <w:b/>
        </w:rPr>
      </w:pPr>
      <w:r>
        <w:rPr>
          <w:b/>
        </w:rPr>
        <w:t>Description</w:t>
      </w:r>
    </w:p>
    <w:p>
      <w:pPr>
        <w:pStyle w:val="Normal"/>
        <w:rPr/>
      </w:pPr>
      <w:r>
        <w:rPr/>
        <w:t>A maturing woodland of well spaced and formed oaks, with hazel, ash, cherry, holly and birch growing between and beneath the oak canopy. Ground flora is abundant though the lack of management has led to some areas of regeneration suppressing the ground flora beneath while brambles dominate in other areas.</w:t>
      </w:r>
    </w:p>
    <w:p>
      <w:pPr>
        <w:pStyle w:val="Normal"/>
        <w:rPr/>
      </w:pPr>
      <w:r>
        <w:rPr/>
        <w:t>The woodland lies on sloping land though access is generally good throughout. Old quarry pits are present on the boundary and are now scrubbed over by young tree growth.</w:t>
      </w:r>
    </w:p>
    <w:p>
      <w:pPr>
        <w:pStyle w:val="Normal"/>
        <w:rPr/>
      </w:pPr>
      <w:r>
        <w:rPr/>
        <w:t>It appears likely that the oaks were planted or have at least been managed during their early development to form tall straight trees, well spaced from the others. Growth in between the oaks is younger and it is likely that species other than oak have been thinned out previously. This growth is generally poor and thin, which has led to numerous fallen and broken stems present across the woodland.</w:t>
      </w:r>
    </w:p>
    <w:p>
      <w:pPr>
        <w:pStyle w:val="Normal"/>
        <w:rPr>
          <w:b/>
          <w:b/>
        </w:rPr>
      </w:pPr>
      <w:r>
        <w:rPr>
          <w:b/>
        </w:rPr>
        <w:t>Access</w:t>
      </w:r>
    </w:p>
    <w:p>
      <w:pPr>
        <w:pStyle w:val="Normal"/>
        <w:rPr/>
      </w:pPr>
      <w:r>
        <w:rPr/>
        <w:t>The site is private and is by agreement of the landowner. Access must be as part of the insured community group. There are no rights of way across the site. There is an informal track running along the boundary but there are no pedestrian or vehicle access routes to other parts of the woodland.</w:t>
      </w:r>
    </w:p>
    <w:p>
      <w:pPr>
        <w:pStyle w:val="Normal"/>
        <w:rPr>
          <w:b/>
          <w:b/>
        </w:rPr>
      </w:pPr>
      <w:r>
        <w:rPr>
          <w:b/>
        </w:rPr>
        <w:t>Other permissions</w:t>
      </w:r>
    </w:p>
    <w:tbl>
      <w:tblPr>
        <w:tblStyle w:val="TableGrid"/>
        <w:tblW w:w="9242" w:type="dxa"/>
        <w:jc w:val="left"/>
        <w:tblInd w:w="0" w:type="dxa"/>
        <w:tblCellMar>
          <w:top w:w="0" w:type="dxa"/>
          <w:left w:w="108" w:type="dxa"/>
          <w:bottom w:w="0" w:type="dxa"/>
          <w:right w:w="108" w:type="dxa"/>
        </w:tblCellMar>
        <w:tblLook w:firstRow="1" w:noVBand="1" w:lastRow="0" w:firstColumn="1" w:lastColumn="0" w:noHBand="0" w:val="04a0"/>
      </w:tblPr>
      <w:tblGrid>
        <w:gridCol w:w="2517"/>
        <w:gridCol w:w="6724"/>
      </w:tblGrid>
      <w:tr>
        <w:trPr/>
        <w:tc>
          <w:tcPr>
            <w:tcW w:w="2517" w:type="dxa"/>
            <w:tcBorders/>
            <w:shd w:fill="auto" w:val="clear"/>
          </w:tcPr>
          <w:p>
            <w:pPr>
              <w:pStyle w:val="Normal"/>
              <w:spacing w:lineRule="auto" w:line="240" w:before="0" w:after="0"/>
              <w:rPr>
                <w:b/>
                <w:b/>
              </w:rPr>
            </w:pPr>
            <w:r>
              <w:rPr>
                <w:b/>
              </w:rPr>
              <w:t>UK and European Protected Sites</w:t>
            </w:r>
          </w:p>
          <w:p>
            <w:pPr>
              <w:pStyle w:val="Normal"/>
              <w:spacing w:lineRule="auto" w:line="240" w:before="0" w:after="0"/>
              <w:rPr>
                <w:b/>
                <w:b/>
              </w:rPr>
            </w:pPr>
            <w:r>
              <w:rPr>
                <w:b/>
              </w:rPr>
            </w:r>
          </w:p>
        </w:tc>
        <w:tc>
          <w:tcPr>
            <w:tcW w:w="6724" w:type="dxa"/>
            <w:tcBorders/>
            <w:shd w:fill="auto" w:val="clear"/>
          </w:tcPr>
          <w:p>
            <w:pPr>
              <w:pStyle w:val="Normal"/>
              <w:spacing w:lineRule="auto" w:line="240" w:before="0" w:after="0"/>
              <w:rPr/>
            </w:pPr>
            <w:r>
              <w:rPr/>
              <w:t>Not a protected site. Protected species likely to be within the woodland are badgers and perhaps several species of bat. All wild birds are protected while nesting.</w:t>
            </w:r>
          </w:p>
        </w:tc>
      </w:tr>
      <w:tr>
        <w:trPr/>
        <w:tc>
          <w:tcPr>
            <w:tcW w:w="2517" w:type="dxa"/>
            <w:tcBorders/>
            <w:shd w:fill="auto" w:val="clear"/>
          </w:tcPr>
          <w:p>
            <w:pPr>
              <w:pStyle w:val="Normal"/>
              <w:spacing w:lineRule="auto" w:line="240" w:before="0" w:after="0"/>
              <w:rPr>
                <w:b/>
                <w:b/>
              </w:rPr>
            </w:pPr>
            <w:r>
              <w:rPr>
                <w:b/>
              </w:rPr>
              <w:t>Tree preservation orders</w:t>
            </w:r>
          </w:p>
          <w:p>
            <w:pPr>
              <w:pStyle w:val="Normal"/>
              <w:spacing w:lineRule="auto" w:line="240" w:before="0" w:after="0"/>
              <w:rPr>
                <w:b/>
                <w:b/>
              </w:rPr>
            </w:pPr>
            <w:r>
              <w:rPr>
                <w:b/>
              </w:rPr>
            </w:r>
          </w:p>
        </w:tc>
        <w:tc>
          <w:tcPr>
            <w:tcW w:w="6724" w:type="dxa"/>
            <w:tcBorders/>
            <w:shd w:fill="auto" w:val="clear"/>
          </w:tcPr>
          <w:p>
            <w:pPr>
              <w:pStyle w:val="Normal"/>
              <w:spacing w:lineRule="auto" w:line="240" w:before="0" w:after="0"/>
              <w:rPr/>
            </w:pPr>
            <w:r>
              <w:rPr/>
              <w:t>None believed to be present. Adjacent to listed building and gardens</w:t>
            </w:r>
          </w:p>
        </w:tc>
      </w:tr>
      <w:tr>
        <w:trPr/>
        <w:tc>
          <w:tcPr>
            <w:tcW w:w="2517" w:type="dxa"/>
            <w:tcBorders/>
            <w:shd w:fill="auto" w:val="clear"/>
          </w:tcPr>
          <w:p>
            <w:pPr>
              <w:pStyle w:val="Normal"/>
              <w:spacing w:lineRule="auto" w:line="240" w:before="0" w:after="0"/>
              <w:rPr>
                <w:b/>
                <w:b/>
              </w:rPr>
            </w:pPr>
            <w:r>
              <w:rPr>
                <w:b/>
              </w:rPr>
              <w:t>Felling license</w:t>
            </w:r>
          </w:p>
          <w:p>
            <w:pPr>
              <w:pStyle w:val="Normal"/>
              <w:spacing w:lineRule="auto" w:line="240" w:before="0" w:after="0"/>
              <w:rPr>
                <w:b/>
                <w:b/>
              </w:rPr>
            </w:pPr>
            <w:r>
              <w:rPr>
                <w:b/>
              </w:rPr>
            </w:r>
          </w:p>
        </w:tc>
        <w:tc>
          <w:tcPr>
            <w:tcW w:w="6724" w:type="dxa"/>
            <w:tcBorders/>
            <w:shd w:fill="auto" w:val="clear"/>
          </w:tcPr>
          <w:p>
            <w:pPr>
              <w:pStyle w:val="Normal"/>
              <w:spacing w:lineRule="auto" w:line="240" w:before="0" w:after="0"/>
              <w:rPr/>
            </w:pPr>
            <w:r>
              <w:rPr/>
              <w:t>2 cubic metres of wood can be removed from the site per calendar quarter without needing a felling licence - making a total of 4 per felling season October-March. Dead trees, wind blown trees and thinnings and coppice below 12cm diameter (at 1.3m from the ground) do not count towards this limit. Proposed management work would remain within this limit meaning that no felling license is required, but harvested volumes should be monitored and a felling license obtained if required. The application will be for thinning works and will likely be granted quickly.</w:t>
            </w:r>
          </w:p>
        </w:tc>
      </w:tr>
      <w:tr>
        <w:trPr/>
        <w:tc>
          <w:tcPr>
            <w:tcW w:w="2517" w:type="dxa"/>
            <w:tcBorders/>
            <w:shd w:fill="auto" w:val="clear"/>
          </w:tcPr>
          <w:p>
            <w:pPr>
              <w:pStyle w:val="Normal"/>
              <w:spacing w:lineRule="auto" w:line="240" w:before="0" w:after="0"/>
              <w:rPr>
                <w:b/>
                <w:b/>
              </w:rPr>
            </w:pPr>
            <w:r>
              <w:rPr>
                <w:b/>
              </w:rPr>
              <w:t>Burning woody material</w:t>
            </w:r>
          </w:p>
          <w:p>
            <w:pPr>
              <w:pStyle w:val="Normal"/>
              <w:spacing w:lineRule="auto" w:line="240" w:before="0" w:after="0"/>
              <w:rPr>
                <w:b/>
                <w:b/>
              </w:rPr>
            </w:pPr>
            <w:r>
              <w:rPr>
                <w:b/>
              </w:rPr>
            </w:r>
          </w:p>
        </w:tc>
        <w:tc>
          <w:tcPr>
            <w:tcW w:w="6724" w:type="dxa"/>
            <w:tcBorders/>
            <w:shd w:fill="auto" w:val="clear"/>
          </w:tcPr>
          <w:p>
            <w:pPr>
              <w:pStyle w:val="Normal"/>
              <w:spacing w:lineRule="auto" w:line="240" w:before="0" w:after="0"/>
              <w:rPr/>
            </w:pPr>
            <w:r>
              <w:rPr/>
              <w:t>An exemption under waste regulations must be obtained before doing so. It may be necessary to undertake burns on site to remove large amounts of brash. This is generally straightforward but suitable burning sites are limited.</w:t>
            </w:r>
          </w:p>
        </w:tc>
      </w:tr>
      <w:tr>
        <w:trPr/>
        <w:tc>
          <w:tcPr>
            <w:tcW w:w="2517" w:type="dxa"/>
            <w:tcBorders/>
            <w:shd w:fill="auto" w:val="clear"/>
          </w:tcPr>
          <w:p>
            <w:pPr>
              <w:pStyle w:val="Normal"/>
              <w:spacing w:lineRule="auto" w:line="240" w:before="0" w:after="0"/>
              <w:rPr>
                <w:b/>
                <w:b/>
              </w:rPr>
            </w:pPr>
            <w:r>
              <w:rPr>
                <w:b/>
              </w:rPr>
              <w:t>Application of pesticides</w:t>
            </w:r>
          </w:p>
        </w:tc>
        <w:tc>
          <w:tcPr>
            <w:tcW w:w="6724" w:type="dxa"/>
            <w:tcBorders/>
            <w:shd w:fill="auto" w:val="clear"/>
          </w:tcPr>
          <w:p>
            <w:pPr>
              <w:pStyle w:val="Normal"/>
              <w:spacing w:lineRule="auto" w:line="240" w:before="0" w:after="0"/>
              <w:rPr/>
            </w:pPr>
            <w:r>
              <w:rPr/>
              <w:t>May require consent from Natural Resources Wales for application near water. Only approved pesticides to be used. Not likely to be used at this site.</w:t>
            </w:r>
          </w:p>
        </w:tc>
      </w:tr>
      <w:tr>
        <w:trPr/>
        <w:tc>
          <w:tcPr>
            <w:tcW w:w="2517" w:type="dxa"/>
            <w:tcBorders/>
            <w:shd w:fill="auto" w:val="clear"/>
          </w:tcPr>
          <w:p>
            <w:pPr>
              <w:pStyle w:val="Normal"/>
              <w:spacing w:lineRule="auto" w:line="240" w:before="0" w:after="0"/>
              <w:rPr>
                <w:b/>
                <w:b/>
              </w:rPr>
            </w:pPr>
            <w:r>
              <w:rPr>
                <w:b/>
              </w:rPr>
              <w:t>Health &amp; Safety</w:t>
            </w:r>
          </w:p>
        </w:tc>
        <w:tc>
          <w:tcPr>
            <w:tcW w:w="6724" w:type="dxa"/>
            <w:tcBorders/>
            <w:shd w:fill="auto" w:val="clear"/>
          </w:tcPr>
          <w:p>
            <w:pPr>
              <w:pStyle w:val="Normal"/>
              <w:spacing w:lineRule="auto" w:line="240" w:before="0" w:after="0"/>
              <w:rPr/>
            </w:pPr>
            <w:r>
              <w:rPr/>
              <w:t>Community group training in risk assessment procedures and safe working practices. Written risk assessments provided to group. Group provides proof of insurance cover and governance procedures to landowner.</w:t>
            </w:r>
          </w:p>
        </w:tc>
      </w:tr>
      <w:tr>
        <w:trPr/>
        <w:tc>
          <w:tcPr>
            <w:tcW w:w="2517" w:type="dxa"/>
            <w:tcBorders/>
            <w:shd w:fill="auto" w:val="clear"/>
          </w:tcPr>
          <w:p>
            <w:pPr>
              <w:pStyle w:val="Normal"/>
              <w:spacing w:lineRule="auto" w:line="240" w:before="0" w:after="0"/>
              <w:rPr>
                <w:b/>
                <w:b/>
              </w:rPr>
            </w:pPr>
            <w:r>
              <w:rPr>
                <w:b/>
              </w:rPr>
            </w:r>
          </w:p>
        </w:tc>
        <w:tc>
          <w:tcPr>
            <w:tcW w:w="6724" w:type="dxa"/>
            <w:tcBorders/>
            <w:shd w:fill="auto" w:val="clear"/>
          </w:tcPr>
          <w:p>
            <w:pPr>
              <w:pStyle w:val="Normal"/>
              <w:spacing w:lineRule="auto" w:line="240" w:before="0" w:after="0"/>
              <w:rPr>
                <w:b/>
                <w:b/>
              </w:rPr>
            </w:pPr>
            <w:r>
              <w:rPr>
                <w:b/>
              </w:rPr>
            </w:r>
          </w:p>
        </w:tc>
      </w:tr>
    </w:tbl>
    <w:p>
      <w:pPr>
        <w:pStyle w:val="Normal"/>
        <w:rPr>
          <w:b/>
          <w:b/>
        </w:rPr>
      </w:pPr>
      <w:r>
        <w:rPr>
          <w:b/>
        </w:rPr>
      </w:r>
    </w:p>
    <w:p>
      <w:pPr>
        <w:pStyle w:val="Normal"/>
        <w:rPr>
          <w:b/>
          <w:b/>
        </w:rPr>
      </w:pPr>
      <w:r>
        <w:rPr>
          <w:b/>
        </w:rPr>
        <w:t>Preparation for management</w:t>
      </w:r>
    </w:p>
    <w:p>
      <w:pPr>
        <w:pStyle w:val="ListParagraph"/>
        <w:numPr>
          <w:ilvl w:val="0"/>
          <w:numId w:val="1"/>
        </w:numPr>
        <w:rPr>
          <w:b/>
          <w:b/>
        </w:rPr>
      </w:pPr>
      <w:r>
        <w:rPr>
          <w:b/>
        </w:rPr>
        <w:t xml:space="preserve">Agreement of landowner – </w:t>
      </w:r>
      <w:r>
        <w:rPr/>
        <w:t>for access and the work proposed in this plan</w:t>
      </w:r>
    </w:p>
    <w:p>
      <w:pPr>
        <w:pStyle w:val="ListParagraph"/>
        <w:numPr>
          <w:ilvl w:val="0"/>
          <w:numId w:val="1"/>
        </w:numPr>
        <w:rPr/>
      </w:pPr>
      <w:r>
        <w:rPr>
          <w:b/>
        </w:rPr>
        <w:t xml:space="preserve">Obtain other permissions – </w:t>
      </w:r>
      <w:r>
        <w:rPr/>
        <w:t>none believed to be required</w:t>
      </w:r>
    </w:p>
    <w:p>
      <w:pPr>
        <w:pStyle w:val="ListParagraph"/>
        <w:numPr>
          <w:ilvl w:val="0"/>
          <w:numId w:val="1"/>
        </w:numPr>
        <w:rPr/>
      </w:pPr>
      <w:r>
        <w:rPr>
          <w:b/>
        </w:rPr>
        <w:t xml:space="preserve">Receive insurance – </w:t>
      </w:r>
      <w:r>
        <w:rPr/>
        <w:t>to landowner, from community group</w:t>
      </w:r>
    </w:p>
    <w:p>
      <w:pPr>
        <w:pStyle w:val="ListParagraph"/>
        <w:numPr>
          <w:ilvl w:val="0"/>
          <w:numId w:val="1"/>
        </w:numPr>
        <w:rPr/>
      </w:pPr>
      <w:r>
        <w:rPr>
          <w:b/>
        </w:rPr>
        <w:t xml:space="preserve">Site Risk Assessment – </w:t>
      </w:r>
      <w:r>
        <w:rPr/>
        <w:t>completed and included in this plan, to be reviewed as soon as work starts.</w:t>
      </w:r>
    </w:p>
    <w:p>
      <w:pPr>
        <w:pStyle w:val="Normal"/>
        <w:rPr/>
      </w:pPr>
      <w:r>
        <w:rPr/>
        <w:t xml:space="preserve">. </w:t>
      </w:r>
    </w:p>
    <w:p>
      <w:pPr>
        <w:sectPr>
          <w:type w:val="nextPage"/>
          <w:pgSz w:w="11906" w:h="16838"/>
          <w:pgMar w:left="1440" w:right="1440" w:header="0" w:top="1440" w:footer="0" w:bottom="1440" w:gutter="0"/>
          <w:pgNumType w:fmt="decimal"/>
          <w:formProt w:val="false"/>
          <w:textDirection w:val="lrTb"/>
          <w:docGrid w:type="default" w:linePitch="360" w:charSpace="4096"/>
        </w:sectPr>
        <w:pStyle w:val="Normal"/>
        <w:rPr/>
      </w:pPr>
      <w:r>
        <w:rPr/>
      </w:r>
    </w:p>
    <w:p>
      <w:pPr>
        <w:pStyle w:val="Normal"/>
        <w:rPr>
          <w:rFonts w:ascii="Century Gothic" w:hAnsi="Century Gothic"/>
          <w:b/>
          <w:b/>
          <w:sz w:val="20"/>
          <w:szCs w:val="20"/>
        </w:rPr>
      </w:pPr>
      <w:r>
        <w:rPr>
          <w:rFonts w:ascii="Century Gothic" w:hAnsi="Century Gothic"/>
          <w:b/>
          <w:sz w:val="20"/>
          <w:szCs w:val="20"/>
        </w:rPr>
        <w:t xml:space="preserve">ACTIVITY: </w:t>
        <w:tab/>
        <w:tab/>
        <w:t>COURT WOOD</w:t>
      </w:r>
    </w:p>
    <w:p>
      <w:pPr>
        <w:pStyle w:val="Normal"/>
        <w:rPr>
          <w:rFonts w:ascii="Century Gothic" w:hAnsi="Century Gothic"/>
          <w:b/>
          <w:b/>
          <w:sz w:val="20"/>
          <w:szCs w:val="20"/>
        </w:rPr>
      </w:pPr>
      <w:r>
        <w:rPr>
          <w:rFonts w:ascii="Century Gothic" w:hAnsi="Century Gothic"/>
          <w:b/>
          <w:sz w:val="20"/>
          <w:szCs w:val="20"/>
        </w:rPr>
        <w:t xml:space="preserve">WHAT IS COVERED? </w:t>
        <w:tab/>
        <w:t>Site Risk Assessment – used in conjunction with Operations Risk Assessment</w:t>
      </w:r>
    </w:p>
    <w:p>
      <w:pPr>
        <w:pStyle w:val="Normal"/>
        <w:rPr>
          <w:rFonts w:ascii="Century Gothic" w:hAnsi="Century Gothic"/>
          <w:b/>
          <w:b/>
          <w:sz w:val="20"/>
          <w:szCs w:val="20"/>
        </w:rPr>
      </w:pPr>
      <w:r>
        <w:rPr>
          <w:rFonts w:ascii="Century Gothic" w:hAnsi="Century Gothic"/>
          <w:b/>
          <w:sz w:val="20"/>
          <w:szCs w:val="20"/>
        </w:rPr>
        <w:t>WHO IS RESPONSIBLE FOR CONTROLS: Site supervisor and workparty.</w:t>
      </w:r>
    </w:p>
    <w:tbl>
      <w:tblPr>
        <w:tblW w:w="14174" w:type="dxa"/>
        <w:jc w:val="left"/>
        <w:tblInd w:w="0" w:type="dxa"/>
        <w:tblCellMar>
          <w:top w:w="0" w:type="dxa"/>
          <w:left w:w="108" w:type="dxa"/>
          <w:bottom w:w="0" w:type="dxa"/>
          <w:right w:w="108" w:type="dxa"/>
        </w:tblCellMar>
        <w:tblLook w:firstRow="1" w:noVBand="1" w:lastRow="0" w:firstColumn="1" w:lastColumn="0" w:noHBand="0" w:val="04a0"/>
      </w:tblPr>
      <w:tblGrid>
        <w:gridCol w:w="1707"/>
        <w:gridCol w:w="1110"/>
        <w:gridCol w:w="2295"/>
        <w:gridCol w:w="1249"/>
        <w:gridCol w:w="1078"/>
        <w:gridCol w:w="1252"/>
        <w:gridCol w:w="4490"/>
        <w:gridCol w:w="991"/>
      </w:tblGrid>
      <w:tr>
        <w:trPr/>
        <w:tc>
          <w:tcPr>
            <w:tcW w:w="1707"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Century Gothic" w:hAnsi="Century Gothic"/>
                <w:b/>
                <w:b/>
                <w:sz w:val="20"/>
                <w:szCs w:val="20"/>
              </w:rPr>
            </w:pPr>
            <w:r>
              <w:rPr>
                <w:rFonts w:ascii="Century Gothic" w:hAnsi="Century Gothic"/>
                <w:b/>
                <w:sz w:val="20"/>
                <w:szCs w:val="20"/>
              </w:rPr>
              <w:t>What is the Hazard</w:t>
            </w:r>
          </w:p>
        </w:tc>
        <w:tc>
          <w:tcPr>
            <w:tcW w:w="111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Century Gothic" w:hAnsi="Century Gothic"/>
                <w:b/>
                <w:b/>
                <w:sz w:val="20"/>
                <w:szCs w:val="20"/>
              </w:rPr>
            </w:pPr>
            <w:r>
              <w:rPr>
                <w:rFonts w:ascii="Century Gothic" w:hAnsi="Century Gothic"/>
                <w:b/>
                <w:sz w:val="20"/>
                <w:szCs w:val="20"/>
              </w:rPr>
              <w:t>Who would be injured?</w:t>
            </w:r>
          </w:p>
        </w:tc>
        <w:tc>
          <w:tcPr>
            <w:tcW w:w="2295"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Century Gothic" w:hAnsi="Century Gothic"/>
                <w:b/>
                <w:b/>
                <w:sz w:val="20"/>
                <w:szCs w:val="20"/>
              </w:rPr>
            </w:pPr>
            <w:r>
              <w:rPr>
                <w:rFonts w:ascii="Century Gothic" w:hAnsi="Century Gothic"/>
                <w:b/>
                <w:sz w:val="20"/>
                <w:szCs w:val="20"/>
              </w:rPr>
              <w:t>Nature and method of injuries</w:t>
            </w:r>
          </w:p>
        </w:tc>
        <w:tc>
          <w:tcPr>
            <w:tcW w:w="1249"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Century Gothic" w:hAnsi="Century Gothic"/>
                <w:b/>
                <w:b/>
                <w:sz w:val="20"/>
                <w:szCs w:val="20"/>
              </w:rPr>
            </w:pPr>
            <w:r>
              <w:rPr>
                <w:rFonts w:ascii="Century Gothic" w:hAnsi="Century Gothic"/>
                <w:b/>
                <w:sz w:val="20"/>
                <w:szCs w:val="20"/>
              </w:rPr>
              <w:t>Frequency of hazard?</w:t>
            </w:r>
          </w:p>
        </w:tc>
        <w:tc>
          <w:tcPr>
            <w:tcW w:w="107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Century Gothic" w:hAnsi="Century Gothic"/>
                <w:b/>
                <w:b/>
                <w:sz w:val="20"/>
                <w:szCs w:val="20"/>
              </w:rPr>
            </w:pPr>
            <w:r>
              <w:rPr>
                <w:rFonts w:ascii="Century Gothic" w:hAnsi="Century Gothic"/>
                <w:b/>
                <w:sz w:val="20"/>
                <w:szCs w:val="20"/>
              </w:rPr>
              <w:t>Severity of hazard?</w:t>
            </w:r>
          </w:p>
        </w:tc>
        <w:tc>
          <w:tcPr>
            <w:tcW w:w="125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Century Gothic" w:hAnsi="Century Gothic"/>
                <w:b/>
                <w:b/>
                <w:sz w:val="20"/>
                <w:szCs w:val="20"/>
              </w:rPr>
            </w:pPr>
            <w:r>
              <w:rPr>
                <w:rFonts w:ascii="Century Gothic" w:hAnsi="Century Gothic"/>
                <w:b/>
                <w:sz w:val="20"/>
                <w:szCs w:val="20"/>
              </w:rPr>
              <w:t>ASSESSED RISK</w:t>
            </w:r>
          </w:p>
        </w:tc>
        <w:tc>
          <w:tcPr>
            <w:tcW w:w="449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Century Gothic" w:hAnsi="Century Gothic"/>
                <w:b/>
                <w:b/>
                <w:sz w:val="20"/>
                <w:szCs w:val="20"/>
              </w:rPr>
            </w:pPr>
            <w:r>
              <w:rPr>
                <w:rFonts w:ascii="Century Gothic" w:hAnsi="Century Gothic"/>
                <w:b/>
                <w:sz w:val="20"/>
                <w:szCs w:val="20"/>
              </w:rPr>
              <w:t>Controls</w:t>
            </w:r>
          </w:p>
        </w:tc>
        <w:tc>
          <w:tcPr>
            <w:tcW w:w="99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Century Gothic" w:hAnsi="Century Gothic"/>
                <w:b/>
                <w:b/>
                <w:sz w:val="20"/>
                <w:szCs w:val="20"/>
              </w:rPr>
            </w:pPr>
            <w:r>
              <w:rPr>
                <w:rFonts w:ascii="Century Gothic" w:hAnsi="Century Gothic"/>
                <w:b/>
                <w:sz w:val="20"/>
                <w:szCs w:val="20"/>
              </w:rPr>
              <w:t>Risk After Control</w:t>
            </w:r>
          </w:p>
        </w:tc>
      </w:tr>
      <w:tr>
        <w:trPr>
          <w:trHeight w:val="574" w:hRule="atLeast"/>
        </w:trPr>
        <w:tc>
          <w:tcPr>
            <w:tcW w:w="1707"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Quarry pits</w:t>
            </w:r>
          </w:p>
        </w:tc>
        <w:tc>
          <w:tcPr>
            <w:tcW w:w="111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Work party</w:t>
            </w:r>
          </w:p>
        </w:tc>
        <w:tc>
          <w:tcPr>
            <w:tcW w:w="22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Falls from slopes and ground surface above</w:t>
            </w:r>
          </w:p>
        </w:tc>
        <w:tc>
          <w:tcPr>
            <w:tcW w:w="124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LOW</w:t>
            </w:r>
          </w:p>
        </w:tc>
        <w:tc>
          <w:tcPr>
            <w:tcW w:w="107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MED</w:t>
            </w:r>
          </w:p>
        </w:tc>
        <w:tc>
          <w:tcPr>
            <w:tcW w:w="12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MED</w:t>
            </w:r>
          </w:p>
        </w:tc>
        <w:tc>
          <w:tcPr>
            <w:tcW w:w="449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Take care when planning and undertaking any thinning in this area. Store cut material so that is cannot fall.</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LOW</w:t>
            </w:r>
          </w:p>
        </w:tc>
      </w:tr>
      <w:tr>
        <w:trPr>
          <w:trHeight w:val="568" w:hRule="atLeast"/>
        </w:trPr>
        <w:tc>
          <w:tcPr>
            <w:tcW w:w="1707"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Leaning pine</w:t>
            </w:r>
          </w:p>
        </w:tc>
        <w:tc>
          <w:tcPr>
            <w:tcW w:w="111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Work party</w:t>
            </w:r>
          </w:p>
        </w:tc>
        <w:tc>
          <w:tcPr>
            <w:tcW w:w="22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Large tree appearing close to falling</w:t>
            </w:r>
          </w:p>
        </w:tc>
        <w:tc>
          <w:tcPr>
            <w:tcW w:w="124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LOW</w:t>
            </w:r>
          </w:p>
        </w:tc>
        <w:tc>
          <w:tcPr>
            <w:tcW w:w="107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HIGH</w:t>
            </w:r>
          </w:p>
        </w:tc>
        <w:tc>
          <w:tcPr>
            <w:tcW w:w="12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HIGH</w:t>
            </w:r>
          </w:p>
        </w:tc>
        <w:tc>
          <w:tcPr>
            <w:tcW w:w="449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Impact from tree clearance around could cause leaning pine to fall. Ensure no clearance work takes place beneath tree. Monitor for tree movement. Reassess at end of season</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LOW</w:t>
            </w:r>
          </w:p>
        </w:tc>
      </w:tr>
      <w:tr>
        <w:trPr>
          <w:trHeight w:val="548" w:hRule="atLeast"/>
        </w:trPr>
        <w:tc>
          <w:tcPr>
            <w:tcW w:w="1707"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Weak bridge at access</w:t>
            </w:r>
          </w:p>
        </w:tc>
        <w:tc>
          <w:tcPr>
            <w:tcW w:w="111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Work party</w:t>
            </w:r>
          </w:p>
        </w:tc>
        <w:tc>
          <w:tcPr>
            <w:tcW w:w="22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Bridge collapsing</w:t>
            </w:r>
          </w:p>
        </w:tc>
        <w:tc>
          <w:tcPr>
            <w:tcW w:w="124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LOW</w:t>
            </w:r>
          </w:p>
        </w:tc>
        <w:tc>
          <w:tcPr>
            <w:tcW w:w="107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HIGH</w:t>
            </w:r>
          </w:p>
        </w:tc>
        <w:tc>
          <w:tcPr>
            <w:tcW w:w="12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HIGH</w:t>
            </w:r>
          </w:p>
        </w:tc>
        <w:tc>
          <w:tcPr>
            <w:tcW w:w="449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Limit weight of vehicles across bridge</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LOW</w:t>
            </w:r>
          </w:p>
        </w:tc>
      </w:tr>
      <w:tr>
        <w:trPr>
          <w:trHeight w:val="556" w:hRule="atLeast"/>
        </w:trPr>
        <w:tc>
          <w:tcPr>
            <w:tcW w:w="1707"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Few defined access routes</w:t>
            </w:r>
          </w:p>
        </w:tc>
        <w:tc>
          <w:tcPr>
            <w:tcW w:w="111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Work party</w:t>
            </w:r>
          </w:p>
        </w:tc>
        <w:tc>
          <w:tcPr>
            <w:tcW w:w="22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Slips, trips and falls</w:t>
            </w:r>
          </w:p>
        </w:tc>
        <w:tc>
          <w:tcPr>
            <w:tcW w:w="124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MED</w:t>
            </w:r>
          </w:p>
        </w:tc>
        <w:tc>
          <w:tcPr>
            <w:tcW w:w="107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LOW</w:t>
            </w:r>
          </w:p>
        </w:tc>
        <w:tc>
          <w:tcPr>
            <w:tcW w:w="12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MED</w:t>
            </w:r>
          </w:p>
        </w:tc>
        <w:tc>
          <w:tcPr>
            <w:tcW w:w="449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Clearing of thinnings and fallen trees to create access routes will be priority work task. Clearance and storage of both brash and logs will ensure routes are kept open</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LOW</w:t>
            </w:r>
          </w:p>
        </w:tc>
      </w:tr>
      <w:tr>
        <w:trPr>
          <w:trHeight w:val="550" w:hRule="atLeast"/>
        </w:trPr>
        <w:tc>
          <w:tcPr>
            <w:tcW w:w="1707"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Numerous fallen, split and broken trees</w:t>
            </w:r>
          </w:p>
        </w:tc>
        <w:tc>
          <w:tcPr>
            <w:tcW w:w="111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Work party</w:t>
            </w:r>
          </w:p>
        </w:tc>
        <w:tc>
          <w:tcPr>
            <w:tcW w:w="22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Slips, trips and falls</w:t>
            </w:r>
          </w:p>
        </w:tc>
        <w:tc>
          <w:tcPr>
            <w:tcW w:w="124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MED</w:t>
            </w:r>
          </w:p>
        </w:tc>
        <w:tc>
          <w:tcPr>
            <w:tcW w:w="107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LOW</w:t>
            </w:r>
          </w:p>
        </w:tc>
        <w:tc>
          <w:tcPr>
            <w:tcW w:w="12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MED</w:t>
            </w:r>
          </w:p>
        </w:tc>
        <w:tc>
          <w:tcPr>
            <w:tcW w:w="449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As above</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LOW</w:t>
            </w:r>
          </w:p>
        </w:tc>
      </w:tr>
      <w:tr>
        <w:trPr>
          <w:trHeight w:val="572" w:hRule="atLeast"/>
        </w:trPr>
        <w:tc>
          <w:tcPr>
            <w:tcW w:w="1707"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Litter and waste</w:t>
            </w:r>
          </w:p>
        </w:tc>
        <w:tc>
          <w:tcPr>
            <w:tcW w:w="111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Work party</w:t>
            </w:r>
          </w:p>
        </w:tc>
        <w:tc>
          <w:tcPr>
            <w:tcW w:w="22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Slips, trips, falls and cuts</w:t>
            </w:r>
          </w:p>
        </w:tc>
        <w:tc>
          <w:tcPr>
            <w:tcW w:w="124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LOW</w:t>
            </w:r>
          </w:p>
        </w:tc>
        <w:tc>
          <w:tcPr>
            <w:tcW w:w="107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LOW</w:t>
            </w:r>
          </w:p>
        </w:tc>
        <w:tc>
          <w:tcPr>
            <w:tcW w:w="12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LOW</w:t>
            </w:r>
          </w:p>
        </w:tc>
        <w:tc>
          <w:tcPr>
            <w:tcW w:w="449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Very little litter and waste is believed to be present in the woodland. If found this should be collected for removal offsite. Refer to Litter collection Risk Assessment.</w:t>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t>LOW</w:t>
            </w:r>
          </w:p>
        </w:tc>
      </w:tr>
      <w:tr>
        <w:trPr>
          <w:trHeight w:val="552" w:hRule="atLeast"/>
        </w:trPr>
        <w:tc>
          <w:tcPr>
            <w:tcW w:w="1707"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r>
          </w:p>
        </w:tc>
        <w:tc>
          <w:tcPr>
            <w:tcW w:w="111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r>
          </w:p>
        </w:tc>
        <w:tc>
          <w:tcPr>
            <w:tcW w:w="22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r>
          </w:p>
        </w:tc>
        <w:tc>
          <w:tcPr>
            <w:tcW w:w="124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r>
          </w:p>
        </w:tc>
        <w:tc>
          <w:tcPr>
            <w:tcW w:w="107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r>
          </w:p>
        </w:tc>
        <w:tc>
          <w:tcPr>
            <w:tcW w:w="12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r>
          </w:p>
        </w:tc>
        <w:tc>
          <w:tcPr>
            <w:tcW w:w="449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r>
          </w:p>
        </w:tc>
      </w:tr>
      <w:tr>
        <w:trPr>
          <w:trHeight w:val="560" w:hRule="atLeast"/>
        </w:trPr>
        <w:tc>
          <w:tcPr>
            <w:tcW w:w="1707"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r>
          </w:p>
        </w:tc>
        <w:tc>
          <w:tcPr>
            <w:tcW w:w="111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r>
          </w:p>
        </w:tc>
        <w:tc>
          <w:tcPr>
            <w:tcW w:w="22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r>
          </w:p>
        </w:tc>
        <w:tc>
          <w:tcPr>
            <w:tcW w:w="124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r>
          </w:p>
        </w:tc>
        <w:tc>
          <w:tcPr>
            <w:tcW w:w="107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r>
          </w:p>
        </w:tc>
        <w:tc>
          <w:tcPr>
            <w:tcW w:w="125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r>
          </w:p>
        </w:tc>
        <w:tc>
          <w:tcPr>
            <w:tcW w:w="449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r>
          </w:p>
        </w:tc>
        <w:tc>
          <w:tcPr>
            <w:tcW w:w="99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rPr>
                <w:rFonts w:ascii="Century Gothic" w:hAnsi="Century Gothic"/>
                <w:sz w:val="20"/>
                <w:szCs w:val="20"/>
              </w:rPr>
            </w:pPr>
            <w:r>
              <w:rPr>
                <w:rFonts w:ascii="Century Gothic" w:hAnsi="Century Gothic"/>
                <w:sz w:val="20"/>
                <w:szCs w:val="20"/>
              </w:rPr>
            </w:r>
          </w:p>
        </w:tc>
      </w:tr>
    </w:tbl>
    <w:p>
      <w:pPr>
        <w:sectPr>
          <w:type w:val="nextPage"/>
          <w:pgSz w:orient="landscape" w:w="16838" w:h="11906"/>
          <w:pgMar w:left="1440" w:right="1440" w:header="0" w:top="1440" w:footer="0" w:bottom="1440" w:gutter="0"/>
          <w:pgNumType w:fmt="decimal"/>
          <w:formProt w:val="false"/>
          <w:textDirection w:val="lrTb"/>
          <w:docGrid w:type="default" w:linePitch="360" w:charSpace="4096"/>
        </w:sectPr>
        <w:pStyle w:val="Normal"/>
        <w:rPr>
          <w:rFonts w:ascii="Century Gothic" w:hAnsi="Century Gothic"/>
          <w:sz w:val="20"/>
          <w:szCs w:val="20"/>
        </w:rPr>
      </w:pPr>
      <w:r>
        <w:rPr>
          <w:rFonts w:ascii="Century Gothic" w:hAnsi="Century Gothic"/>
          <w:sz w:val="20"/>
          <w:szCs w:val="20"/>
        </w:rPr>
      </w:r>
    </w:p>
    <w:p>
      <w:pPr>
        <w:pStyle w:val="Normal"/>
        <w:rPr/>
      </w:pPr>
      <w:r>
        <w:rPr/>
        <w:drawing>
          <wp:inline distT="0" distB="0" distL="0" distR="0">
            <wp:extent cx="8312150" cy="5311140"/>
            <wp:effectExtent l="0" t="0" r="0" b="0"/>
            <wp:docPr id="20" name="Picture 2" descr="Macintosh HD:Users:garethellis: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Macintosh HD:Users:garethellis:Desktop:Unknown.jpeg"/>
                    <pic:cNvPicPr>
                      <a:picLocks noChangeAspect="1" noChangeArrowheads="1"/>
                    </pic:cNvPicPr>
                  </pic:nvPicPr>
                  <pic:blipFill>
                    <a:blip r:embed="rId6"/>
                    <a:srcRect l="0" t="0" r="7021" b="11283"/>
                    <a:stretch>
                      <a:fillRect/>
                    </a:stretch>
                  </pic:blipFill>
                  <pic:spPr bwMode="auto">
                    <a:xfrm>
                      <a:off x="0" y="0"/>
                      <a:ext cx="8312150" cy="5311140"/>
                    </a:xfrm>
                    <a:prstGeom prst="rect">
                      <a:avLst/>
                    </a:prstGeom>
                  </pic:spPr>
                </pic:pic>
              </a:graphicData>
            </a:graphic>
          </wp:inline>
        </w:drawing>
      </w:r>
      <w:r>
        <w:rPr>
          <w:b/>
        </w:rPr>
        <w:t>Compartments 1- Access way and quarry pits</w:t>
      </w:r>
    </w:p>
    <w:p>
      <w:pPr>
        <w:pStyle w:val="Normal"/>
        <w:rPr/>
      </w:pPr>
      <w:r>
        <w:rPr/>
        <w:t>This compartment runs the length of the woodland boundary and includes the winding informal track along this route, some large boundary trees and the quarry pits.</w:t>
      </w:r>
    </w:p>
    <w:tbl>
      <w:tblPr>
        <w:tblStyle w:val="TableGrid"/>
        <w:tblW w:w="9242" w:type="dxa"/>
        <w:jc w:val="left"/>
        <w:tblInd w:w="0" w:type="dxa"/>
        <w:tblCellMar>
          <w:top w:w="0" w:type="dxa"/>
          <w:left w:w="108" w:type="dxa"/>
          <w:bottom w:w="0" w:type="dxa"/>
          <w:right w:w="108" w:type="dxa"/>
        </w:tblCellMar>
        <w:tblLook w:firstRow="1" w:noVBand="1" w:lastRow="0" w:firstColumn="1" w:lastColumn="0" w:noHBand="0" w:val="04a0"/>
      </w:tblPr>
      <w:tblGrid>
        <w:gridCol w:w="2310"/>
        <w:gridCol w:w="2310"/>
        <w:gridCol w:w="2309"/>
        <w:gridCol w:w="2312"/>
      </w:tblGrid>
      <w:tr>
        <w:trPr/>
        <w:tc>
          <w:tcPr>
            <w:tcW w:w="2310" w:type="dxa"/>
            <w:tcBorders/>
            <w:shd w:fill="auto" w:val="clear"/>
          </w:tcPr>
          <w:p>
            <w:pPr>
              <w:pStyle w:val="Normal"/>
              <w:spacing w:lineRule="auto" w:line="240" w:before="0" w:after="0"/>
              <w:rPr/>
            </w:pPr>
            <w:r>
              <w:rPr/>
              <w:t>Feature</w:t>
            </w:r>
          </w:p>
        </w:tc>
        <w:tc>
          <w:tcPr>
            <w:tcW w:w="2310" w:type="dxa"/>
            <w:tcBorders/>
            <w:shd w:fill="auto" w:val="clear"/>
          </w:tcPr>
          <w:p>
            <w:pPr>
              <w:pStyle w:val="Normal"/>
              <w:spacing w:lineRule="auto" w:line="240" w:before="0" w:after="0"/>
              <w:rPr/>
            </w:pPr>
            <w:r>
              <w:rPr/>
              <w:t>Objective</w:t>
            </w:r>
          </w:p>
        </w:tc>
        <w:tc>
          <w:tcPr>
            <w:tcW w:w="2309" w:type="dxa"/>
            <w:tcBorders/>
            <w:shd w:fill="auto" w:val="clear"/>
          </w:tcPr>
          <w:p>
            <w:pPr>
              <w:pStyle w:val="Normal"/>
              <w:spacing w:lineRule="auto" w:line="240" w:before="0" w:after="0"/>
              <w:rPr/>
            </w:pPr>
            <w:r>
              <w:rPr/>
              <w:t>Method</w:t>
            </w:r>
          </w:p>
        </w:tc>
        <w:tc>
          <w:tcPr>
            <w:tcW w:w="2312" w:type="dxa"/>
            <w:tcBorders/>
            <w:shd w:fill="auto" w:val="clear"/>
          </w:tcPr>
          <w:p>
            <w:pPr>
              <w:pStyle w:val="Normal"/>
              <w:spacing w:lineRule="auto" w:line="240" w:before="0" w:after="0"/>
              <w:rPr/>
            </w:pPr>
            <w:r>
              <w:rPr/>
              <w:t>Frequency</w:t>
            </w:r>
          </w:p>
        </w:tc>
      </w:tr>
      <w:tr>
        <w:trPr/>
        <w:tc>
          <w:tcPr>
            <w:tcW w:w="2310" w:type="dxa"/>
            <w:tcBorders/>
            <w:shd w:fill="auto" w:val="clear"/>
          </w:tcPr>
          <w:p>
            <w:pPr>
              <w:pStyle w:val="Normal"/>
              <w:spacing w:lineRule="auto" w:line="240" w:before="0" w:after="0"/>
              <w:rPr/>
            </w:pPr>
            <w:r>
              <w:rPr/>
              <w:t>Access route</w:t>
            </w:r>
          </w:p>
        </w:tc>
        <w:tc>
          <w:tcPr>
            <w:tcW w:w="2310" w:type="dxa"/>
            <w:tcBorders/>
            <w:shd w:fill="auto" w:val="clear"/>
          </w:tcPr>
          <w:p>
            <w:pPr>
              <w:pStyle w:val="Normal"/>
              <w:spacing w:lineRule="auto" w:line="240" w:before="0" w:after="0"/>
              <w:rPr/>
            </w:pPr>
            <w:r>
              <w:rPr/>
              <w:t>Create clear route for work party and timber extraction</w:t>
            </w:r>
          </w:p>
        </w:tc>
        <w:tc>
          <w:tcPr>
            <w:tcW w:w="2309" w:type="dxa"/>
            <w:tcBorders/>
            <w:shd w:fill="auto" w:val="clear"/>
          </w:tcPr>
          <w:p>
            <w:pPr>
              <w:pStyle w:val="Normal"/>
              <w:spacing w:lineRule="auto" w:line="240" w:before="0" w:after="0"/>
              <w:rPr/>
            </w:pPr>
            <w:r>
              <w:rPr/>
              <w:t>Determine route and remove only small trees, avoid areas of wet and steep ground, identify areas for timber stacks and vehicle turning areas</w:t>
            </w:r>
          </w:p>
        </w:tc>
        <w:tc>
          <w:tcPr>
            <w:tcW w:w="2312" w:type="dxa"/>
            <w:tcBorders/>
            <w:shd w:fill="auto" w:val="clear"/>
          </w:tcPr>
          <w:p>
            <w:pPr>
              <w:pStyle w:val="Normal"/>
              <w:spacing w:lineRule="auto" w:line="240" w:before="0" w:after="0"/>
              <w:rPr/>
            </w:pPr>
            <w:r>
              <w:rPr/>
              <w:t>Year 1</w:t>
            </w:r>
          </w:p>
        </w:tc>
      </w:tr>
      <w:tr>
        <w:trPr/>
        <w:tc>
          <w:tcPr>
            <w:tcW w:w="2310" w:type="dxa"/>
            <w:tcBorders/>
            <w:shd w:fill="auto" w:val="clear"/>
          </w:tcPr>
          <w:p>
            <w:pPr>
              <w:pStyle w:val="Normal"/>
              <w:spacing w:lineRule="auto" w:line="240" w:before="0" w:after="0"/>
              <w:rPr/>
            </w:pPr>
            <w:r>
              <w:rPr/>
              <w:t>Large pine tree</w:t>
            </w:r>
          </w:p>
        </w:tc>
        <w:tc>
          <w:tcPr>
            <w:tcW w:w="2310" w:type="dxa"/>
            <w:tcBorders/>
            <w:shd w:fill="auto" w:val="clear"/>
          </w:tcPr>
          <w:p>
            <w:pPr>
              <w:pStyle w:val="Normal"/>
              <w:spacing w:lineRule="auto" w:line="240" w:before="0" w:after="0"/>
              <w:rPr/>
            </w:pPr>
            <w:r>
              <w:rPr/>
              <w:t>Ensure safety of working party</w:t>
            </w:r>
          </w:p>
        </w:tc>
        <w:tc>
          <w:tcPr>
            <w:tcW w:w="2309" w:type="dxa"/>
            <w:tcBorders/>
            <w:shd w:fill="auto" w:val="clear"/>
          </w:tcPr>
          <w:p>
            <w:pPr>
              <w:pStyle w:val="Normal"/>
              <w:spacing w:lineRule="auto" w:line="240" w:before="0" w:after="0"/>
              <w:rPr/>
            </w:pPr>
            <w:r>
              <w:rPr>
                <w:rFonts w:ascii="Century Gothic" w:hAnsi="Century Gothic"/>
                <w:sz w:val="20"/>
                <w:szCs w:val="20"/>
              </w:rPr>
              <w:t>Impact from tree clearance around could cause leaning pine to fall. Ensure no clearance work takes place beneath tree. Monitor for tree movement. Reassess at end of season</w:t>
            </w:r>
          </w:p>
        </w:tc>
        <w:tc>
          <w:tcPr>
            <w:tcW w:w="2312" w:type="dxa"/>
            <w:tcBorders/>
            <w:shd w:fill="auto" w:val="clear"/>
          </w:tcPr>
          <w:p>
            <w:pPr>
              <w:pStyle w:val="Normal"/>
              <w:spacing w:lineRule="auto" w:line="240" w:before="0" w:after="0"/>
              <w:rPr/>
            </w:pPr>
            <w:r>
              <w:rPr/>
              <w:t>Year 1</w:t>
            </w:r>
          </w:p>
        </w:tc>
      </w:tr>
      <w:tr>
        <w:trPr/>
        <w:tc>
          <w:tcPr>
            <w:tcW w:w="2310" w:type="dxa"/>
            <w:tcBorders/>
            <w:shd w:fill="auto" w:val="clear"/>
          </w:tcPr>
          <w:p>
            <w:pPr>
              <w:pStyle w:val="Normal"/>
              <w:spacing w:lineRule="auto" w:line="240" w:before="0" w:after="0"/>
              <w:rPr/>
            </w:pPr>
            <w:r>
              <w:rPr/>
              <w:t>Quarry pits</w:t>
            </w:r>
          </w:p>
        </w:tc>
        <w:tc>
          <w:tcPr>
            <w:tcW w:w="2310" w:type="dxa"/>
            <w:tcBorders/>
            <w:shd w:fill="auto" w:val="clear"/>
          </w:tcPr>
          <w:p>
            <w:pPr>
              <w:pStyle w:val="Normal"/>
              <w:spacing w:lineRule="auto" w:line="240" w:before="0" w:after="0"/>
              <w:rPr/>
            </w:pPr>
            <w:r>
              <w:rPr/>
              <w:t>Create open sunlit and sheltered area around quarry pits</w:t>
            </w:r>
          </w:p>
        </w:tc>
        <w:tc>
          <w:tcPr>
            <w:tcW w:w="2309" w:type="dxa"/>
            <w:tcBorders/>
            <w:shd w:fill="auto" w:val="clear"/>
          </w:tcPr>
          <w:p>
            <w:pPr>
              <w:pStyle w:val="Normal"/>
              <w:spacing w:lineRule="auto" w:line="240" w:before="0" w:after="0"/>
              <w:rPr/>
            </w:pPr>
            <w:r>
              <w:rPr/>
              <w:t>Clear saplings and regeneration to create open areas for sunlight beneath standards</w:t>
            </w:r>
          </w:p>
        </w:tc>
        <w:tc>
          <w:tcPr>
            <w:tcW w:w="2312" w:type="dxa"/>
            <w:tcBorders/>
            <w:shd w:fill="auto" w:val="clear"/>
          </w:tcPr>
          <w:p>
            <w:pPr>
              <w:pStyle w:val="Normal"/>
              <w:spacing w:lineRule="auto" w:line="240" w:before="0" w:after="0"/>
              <w:rPr/>
            </w:pPr>
            <w:r>
              <w:rPr/>
              <w:t>Year 2</w:t>
            </w:r>
          </w:p>
        </w:tc>
      </w:tr>
      <w:tr>
        <w:trPr/>
        <w:tc>
          <w:tcPr>
            <w:tcW w:w="2310" w:type="dxa"/>
            <w:tcBorders/>
            <w:shd w:fill="auto" w:val="clear"/>
          </w:tcPr>
          <w:p>
            <w:pPr>
              <w:pStyle w:val="Normal"/>
              <w:spacing w:lineRule="auto" w:line="240" w:before="0" w:after="0"/>
              <w:rPr/>
            </w:pPr>
            <w:r>
              <w:rPr/>
              <w:t>Boundary</w:t>
            </w:r>
          </w:p>
        </w:tc>
        <w:tc>
          <w:tcPr>
            <w:tcW w:w="2310" w:type="dxa"/>
            <w:tcBorders/>
            <w:shd w:fill="auto" w:val="clear"/>
          </w:tcPr>
          <w:p>
            <w:pPr>
              <w:pStyle w:val="Normal"/>
              <w:spacing w:lineRule="auto" w:line="240" w:before="0" w:after="0"/>
              <w:rPr/>
            </w:pPr>
            <w:r>
              <w:rPr/>
              <w:t>Ensure firm boundary</w:t>
            </w:r>
          </w:p>
        </w:tc>
        <w:tc>
          <w:tcPr>
            <w:tcW w:w="2309" w:type="dxa"/>
            <w:tcBorders/>
            <w:shd w:fill="auto" w:val="clear"/>
          </w:tcPr>
          <w:p>
            <w:pPr>
              <w:pStyle w:val="Normal"/>
              <w:spacing w:lineRule="auto" w:line="240" w:before="0" w:after="0"/>
              <w:rPr/>
            </w:pPr>
            <w:r>
              <w:rPr/>
              <w:t>Check for overhanging trees and remove to prevent fence damage</w:t>
            </w:r>
          </w:p>
        </w:tc>
        <w:tc>
          <w:tcPr>
            <w:tcW w:w="2312" w:type="dxa"/>
            <w:tcBorders/>
            <w:shd w:fill="auto" w:val="clear"/>
          </w:tcPr>
          <w:p>
            <w:pPr>
              <w:pStyle w:val="Normal"/>
              <w:spacing w:lineRule="auto" w:line="240" w:before="0" w:after="0"/>
              <w:rPr/>
            </w:pPr>
            <w:r>
              <w:rPr/>
              <w:t>Year 1</w:t>
            </w:r>
          </w:p>
        </w:tc>
      </w:tr>
      <w:tr>
        <w:trPr/>
        <w:tc>
          <w:tcPr>
            <w:tcW w:w="2310" w:type="dxa"/>
            <w:tcBorders/>
            <w:shd w:fill="auto" w:val="clear"/>
          </w:tcPr>
          <w:p>
            <w:pPr>
              <w:pStyle w:val="Normal"/>
              <w:spacing w:lineRule="auto" w:line="240" w:before="0" w:after="0"/>
              <w:rPr/>
            </w:pPr>
            <w:r>
              <w:rPr/>
            </w:r>
          </w:p>
        </w:tc>
        <w:tc>
          <w:tcPr>
            <w:tcW w:w="2310" w:type="dxa"/>
            <w:tcBorders/>
            <w:shd w:fill="auto" w:val="clear"/>
          </w:tcPr>
          <w:p>
            <w:pPr>
              <w:pStyle w:val="Normal"/>
              <w:spacing w:lineRule="auto" w:line="240" w:before="0" w:after="0"/>
              <w:rPr/>
            </w:pPr>
            <w:r>
              <w:rPr/>
            </w:r>
          </w:p>
        </w:tc>
        <w:tc>
          <w:tcPr>
            <w:tcW w:w="2309" w:type="dxa"/>
            <w:tcBorders/>
            <w:shd w:fill="auto" w:val="clear"/>
          </w:tcPr>
          <w:p>
            <w:pPr>
              <w:pStyle w:val="Normal"/>
              <w:spacing w:lineRule="auto" w:line="240" w:before="0" w:after="0"/>
              <w:rPr/>
            </w:pPr>
            <w:r>
              <w:rPr/>
            </w:r>
          </w:p>
        </w:tc>
        <w:tc>
          <w:tcPr>
            <w:tcW w:w="2312" w:type="dxa"/>
            <w:tcBorders/>
            <w:shd w:fill="auto" w:val="clear"/>
          </w:tcPr>
          <w:p>
            <w:pPr>
              <w:pStyle w:val="Normal"/>
              <w:spacing w:lineRule="auto" w:line="240" w:before="0" w:after="0"/>
              <w:rPr/>
            </w:pPr>
            <w:r>
              <w:rPr/>
            </w:r>
          </w:p>
        </w:tc>
      </w:tr>
      <w:tr>
        <w:trPr/>
        <w:tc>
          <w:tcPr>
            <w:tcW w:w="2310" w:type="dxa"/>
            <w:tcBorders/>
            <w:shd w:fill="auto" w:val="clear"/>
          </w:tcPr>
          <w:p>
            <w:pPr>
              <w:pStyle w:val="Normal"/>
              <w:spacing w:lineRule="auto" w:line="240" w:before="0" w:after="0"/>
              <w:rPr/>
            </w:pPr>
            <w:r>
              <w:rPr/>
            </w:r>
          </w:p>
        </w:tc>
        <w:tc>
          <w:tcPr>
            <w:tcW w:w="2310" w:type="dxa"/>
            <w:tcBorders/>
            <w:shd w:fill="auto" w:val="clear"/>
          </w:tcPr>
          <w:p>
            <w:pPr>
              <w:pStyle w:val="Normal"/>
              <w:spacing w:lineRule="auto" w:line="240" w:before="0" w:after="0"/>
              <w:rPr/>
            </w:pPr>
            <w:r>
              <w:rPr/>
            </w:r>
          </w:p>
        </w:tc>
        <w:tc>
          <w:tcPr>
            <w:tcW w:w="2309" w:type="dxa"/>
            <w:tcBorders/>
            <w:shd w:fill="auto" w:val="clear"/>
          </w:tcPr>
          <w:p>
            <w:pPr>
              <w:pStyle w:val="Normal"/>
              <w:spacing w:lineRule="auto" w:line="240" w:before="0" w:after="0"/>
              <w:rPr/>
            </w:pPr>
            <w:r>
              <w:rPr/>
            </w:r>
          </w:p>
        </w:tc>
        <w:tc>
          <w:tcPr>
            <w:tcW w:w="2312" w:type="dxa"/>
            <w:tcBorders/>
            <w:shd w:fill="auto" w:val="clear"/>
          </w:tcPr>
          <w:p>
            <w:pPr>
              <w:pStyle w:val="Normal"/>
              <w:spacing w:lineRule="auto" w:line="240" w:before="0" w:after="0"/>
              <w:rPr/>
            </w:pPr>
            <w:r>
              <w:rPr/>
            </w:r>
          </w:p>
        </w:tc>
      </w:tr>
      <w:tr>
        <w:trPr/>
        <w:tc>
          <w:tcPr>
            <w:tcW w:w="2310" w:type="dxa"/>
            <w:tcBorders/>
            <w:shd w:fill="auto" w:val="clear"/>
          </w:tcPr>
          <w:p>
            <w:pPr>
              <w:pStyle w:val="Normal"/>
              <w:spacing w:lineRule="auto" w:line="240" w:before="0" w:after="0"/>
              <w:rPr/>
            </w:pPr>
            <w:r>
              <w:rPr/>
            </w:r>
          </w:p>
        </w:tc>
        <w:tc>
          <w:tcPr>
            <w:tcW w:w="2310" w:type="dxa"/>
            <w:tcBorders/>
            <w:shd w:fill="auto" w:val="clear"/>
          </w:tcPr>
          <w:p>
            <w:pPr>
              <w:pStyle w:val="Normal"/>
              <w:spacing w:lineRule="auto" w:line="240" w:before="0" w:after="0"/>
              <w:rPr/>
            </w:pPr>
            <w:r>
              <w:rPr/>
            </w:r>
          </w:p>
        </w:tc>
        <w:tc>
          <w:tcPr>
            <w:tcW w:w="2309" w:type="dxa"/>
            <w:tcBorders/>
            <w:shd w:fill="auto" w:val="clear"/>
          </w:tcPr>
          <w:p>
            <w:pPr>
              <w:pStyle w:val="Normal"/>
              <w:spacing w:lineRule="auto" w:line="240" w:before="0" w:after="0"/>
              <w:rPr/>
            </w:pPr>
            <w:r>
              <w:rPr/>
            </w:r>
          </w:p>
        </w:tc>
        <w:tc>
          <w:tcPr>
            <w:tcW w:w="2312" w:type="dxa"/>
            <w:tcBorders/>
            <w:shd w:fill="auto" w:val="clear"/>
          </w:tcPr>
          <w:p>
            <w:pPr>
              <w:pStyle w:val="Normal"/>
              <w:spacing w:lineRule="auto" w:line="240" w:before="0" w:after="0"/>
              <w:rPr/>
            </w:pPr>
            <w:r>
              <w:rPr/>
            </w:r>
          </w:p>
        </w:tc>
      </w:tr>
      <w:tr>
        <w:trPr/>
        <w:tc>
          <w:tcPr>
            <w:tcW w:w="2310" w:type="dxa"/>
            <w:tcBorders/>
            <w:shd w:fill="auto" w:val="clear"/>
          </w:tcPr>
          <w:p>
            <w:pPr>
              <w:pStyle w:val="Normal"/>
              <w:spacing w:lineRule="auto" w:line="240" w:before="0" w:after="0"/>
              <w:rPr/>
            </w:pPr>
            <w:r>
              <w:rPr/>
            </w:r>
          </w:p>
        </w:tc>
        <w:tc>
          <w:tcPr>
            <w:tcW w:w="2310" w:type="dxa"/>
            <w:tcBorders/>
            <w:shd w:fill="auto" w:val="clear"/>
          </w:tcPr>
          <w:p>
            <w:pPr>
              <w:pStyle w:val="Normal"/>
              <w:spacing w:lineRule="auto" w:line="240" w:before="0" w:after="0"/>
              <w:rPr/>
            </w:pPr>
            <w:r>
              <w:rPr/>
            </w:r>
          </w:p>
        </w:tc>
        <w:tc>
          <w:tcPr>
            <w:tcW w:w="2309" w:type="dxa"/>
            <w:tcBorders/>
            <w:shd w:fill="auto" w:val="clear"/>
          </w:tcPr>
          <w:p>
            <w:pPr>
              <w:pStyle w:val="Normal"/>
              <w:spacing w:lineRule="auto" w:line="240" w:before="0" w:after="0"/>
              <w:rPr/>
            </w:pPr>
            <w:r>
              <w:rPr/>
            </w:r>
          </w:p>
        </w:tc>
        <w:tc>
          <w:tcPr>
            <w:tcW w:w="2312" w:type="dxa"/>
            <w:tcBorders/>
            <w:shd w:fill="auto" w:val="clear"/>
          </w:tcPr>
          <w:p>
            <w:pPr>
              <w:pStyle w:val="Normal"/>
              <w:spacing w:lineRule="auto" w:line="240" w:before="0" w:after="0"/>
              <w:rPr/>
            </w:pPr>
            <w:r>
              <w:rPr/>
            </w:r>
          </w:p>
        </w:tc>
      </w:tr>
      <w:tr>
        <w:trPr/>
        <w:tc>
          <w:tcPr>
            <w:tcW w:w="2310" w:type="dxa"/>
            <w:tcBorders/>
            <w:shd w:fill="auto" w:val="clear"/>
          </w:tcPr>
          <w:p>
            <w:pPr>
              <w:pStyle w:val="Normal"/>
              <w:spacing w:lineRule="auto" w:line="240" w:before="0" w:after="0"/>
              <w:rPr/>
            </w:pPr>
            <w:r>
              <w:rPr/>
            </w:r>
          </w:p>
        </w:tc>
        <w:tc>
          <w:tcPr>
            <w:tcW w:w="2310" w:type="dxa"/>
            <w:tcBorders/>
            <w:shd w:fill="auto" w:val="clear"/>
          </w:tcPr>
          <w:p>
            <w:pPr>
              <w:pStyle w:val="Normal"/>
              <w:spacing w:lineRule="auto" w:line="240" w:before="0" w:after="0"/>
              <w:rPr/>
            </w:pPr>
            <w:r>
              <w:rPr/>
            </w:r>
          </w:p>
        </w:tc>
        <w:tc>
          <w:tcPr>
            <w:tcW w:w="2309" w:type="dxa"/>
            <w:tcBorders/>
            <w:shd w:fill="auto" w:val="clear"/>
          </w:tcPr>
          <w:p>
            <w:pPr>
              <w:pStyle w:val="Normal"/>
              <w:spacing w:lineRule="auto" w:line="240" w:before="0" w:after="0"/>
              <w:rPr/>
            </w:pPr>
            <w:r>
              <w:rPr/>
            </w:r>
          </w:p>
        </w:tc>
        <w:tc>
          <w:tcPr>
            <w:tcW w:w="2312" w:type="dxa"/>
            <w:tcBorders/>
            <w:shd w:fill="auto" w:val="clear"/>
          </w:tcPr>
          <w:p>
            <w:pPr>
              <w:pStyle w:val="Normal"/>
              <w:spacing w:lineRule="auto" w:line="240" w:before="0" w:after="0"/>
              <w:rPr/>
            </w:pPr>
            <w:r>
              <w:rPr/>
            </w:r>
          </w:p>
        </w:tc>
      </w:tr>
    </w:tbl>
    <w:p>
      <w:pPr>
        <w:pStyle w:val="Normal"/>
        <w:rPr/>
      </w:pPr>
      <w:r>
        <w:rPr/>
        <w:br/>
      </w:r>
    </w:p>
    <w:p>
      <w:pPr>
        <w:pStyle w:val="Normal"/>
        <w:rPr/>
      </w:pPr>
      <w:r>
        <w:rPr/>
        <w:t>NOTES:</w:t>
      </w:r>
      <w:r>
        <w:br w:type="page"/>
      </w:r>
    </w:p>
    <w:p>
      <w:pPr>
        <w:pStyle w:val="Normal"/>
        <w:rPr>
          <w:b/>
          <w:b/>
        </w:rPr>
      </w:pPr>
      <w:r>
        <w:rPr>
          <w:b/>
        </w:rPr>
        <w:t>Compartments 2,3,4, 5, 6 and 7</w:t>
      </w:r>
    </w:p>
    <w:p>
      <w:pPr>
        <w:pStyle w:val="Normal"/>
        <w:rPr/>
      </w:pPr>
      <w:r>
        <w:rPr/>
        <w:t>The remainder of the woodland has been divided into 6 roughly equal blocks. Habitat and structure is fairly uniform throughout.</w:t>
      </w:r>
    </w:p>
    <w:tbl>
      <w:tblPr>
        <w:tblStyle w:val="TableGrid"/>
        <w:tblW w:w="9242" w:type="dxa"/>
        <w:jc w:val="left"/>
        <w:tblInd w:w="0" w:type="dxa"/>
        <w:tblCellMar>
          <w:top w:w="0" w:type="dxa"/>
          <w:left w:w="108" w:type="dxa"/>
          <w:bottom w:w="0" w:type="dxa"/>
          <w:right w:w="108" w:type="dxa"/>
        </w:tblCellMar>
        <w:tblLook w:firstRow="1" w:noVBand="1" w:lastRow="0" w:firstColumn="1" w:lastColumn="0" w:noHBand="0" w:val="04a0"/>
      </w:tblPr>
      <w:tblGrid>
        <w:gridCol w:w="2310"/>
        <w:gridCol w:w="2310"/>
        <w:gridCol w:w="2309"/>
        <w:gridCol w:w="2312"/>
      </w:tblGrid>
      <w:tr>
        <w:trPr/>
        <w:tc>
          <w:tcPr>
            <w:tcW w:w="2310" w:type="dxa"/>
            <w:tcBorders/>
            <w:shd w:fill="auto" w:val="clear"/>
          </w:tcPr>
          <w:p>
            <w:pPr>
              <w:pStyle w:val="Normal"/>
              <w:spacing w:lineRule="auto" w:line="240" w:before="0" w:after="0"/>
              <w:rPr/>
            </w:pPr>
            <w:r>
              <w:rPr/>
              <w:t>Feature</w:t>
            </w:r>
          </w:p>
        </w:tc>
        <w:tc>
          <w:tcPr>
            <w:tcW w:w="2310" w:type="dxa"/>
            <w:tcBorders/>
            <w:shd w:fill="auto" w:val="clear"/>
          </w:tcPr>
          <w:p>
            <w:pPr>
              <w:pStyle w:val="Normal"/>
              <w:spacing w:lineRule="auto" w:line="240" w:before="0" w:after="0"/>
              <w:rPr/>
            </w:pPr>
            <w:r>
              <w:rPr/>
              <w:t>Objective</w:t>
            </w:r>
          </w:p>
        </w:tc>
        <w:tc>
          <w:tcPr>
            <w:tcW w:w="2309" w:type="dxa"/>
            <w:tcBorders/>
            <w:shd w:fill="auto" w:val="clear"/>
          </w:tcPr>
          <w:p>
            <w:pPr>
              <w:pStyle w:val="Normal"/>
              <w:spacing w:lineRule="auto" w:line="240" w:before="0" w:after="0"/>
              <w:rPr/>
            </w:pPr>
            <w:r>
              <w:rPr/>
              <w:t>Method</w:t>
            </w:r>
          </w:p>
        </w:tc>
        <w:tc>
          <w:tcPr>
            <w:tcW w:w="2312" w:type="dxa"/>
            <w:tcBorders/>
            <w:shd w:fill="auto" w:val="clear"/>
          </w:tcPr>
          <w:p>
            <w:pPr>
              <w:pStyle w:val="Normal"/>
              <w:spacing w:lineRule="auto" w:line="240" w:before="0" w:after="0"/>
              <w:rPr/>
            </w:pPr>
            <w:r>
              <w:rPr/>
              <w:t>Frequency</w:t>
            </w:r>
          </w:p>
        </w:tc>
      </w:tr>
      <w:tr>
        <w:trPr/>
        <w:tc>
          <w:tcPr>
            <w:tcW w:w="2310" w:type="dxa"/>
            <w:tcBorders/>
            <w:shd w:fill="auto" w:val="clear"/>
          </w:tcPr>
          <w:p>
            <w:pPr>
              <w:pStyle w:val="Normal"/>
              <w:spacing w:lineRule="auto" w:line="240" w:before="0" w:after="0"/>
              <w:rPr/>
            </w:pPr>
            <w:r>
              <w:rPr/>
              <w:t>Fallen, leaning and broken stems</w:t>
            </w:r>
          </w:p>
        </w:tc>
        <w:tc>
          <w:tcPr>
            <w:tcW w:w="2310" w:type="dxa"/>
            <w:tcBorders/>
            <w:shd w:fill="auto" w:val="clear"/>
          </w:tcPr>
          <w:p>
            <w:pPr>
              <w:pStyle w:val="Normal"/>
              <w:spacing w:lineRule="auto" w:line="240" w:before="0" w:after="0"/>
              <w:rPr/>
            </w:pPr>
            <w:r>
              <w:rPr/>
              <w:t>Clear and make safe</w:t>
            </w:r>
          </w:p>
        </w:tc>
        <w:tc>
          <w:tcPr>
            <w:tcW w:w="2309" w:type="dxa"/>
            <w:tcBorders/>
            <w:shd w:fill="auto" w:val="clear"/>
          </w:tcPr>
          <w:p>
            <w:pPr>
              <w:pStyle w:val="Normal"/>
              <w:spacing w:lineRule="auto" w:line="240" w:before="0" w:after="0"/>
              <w:rPr/>
            </w:pPr>
            <w:r>
              <w:rPr/>
              <w:t>Find and clear all windblows, fallen and split trees, except where standing deadwood can be safely left</w:t>
            </w:r>
          </w:p>
        </w:tc>
        <w:tc>
          <w:tcPr>
            <w:tcW w:w="2312" w:type="dxa"/>
            <w:tcBorders/>
            <w:shd w:fill="auto" w:val="clear"/>
          </w:tcPr>
          <w:p>
            <w:pPr>
              <w:pStyle w:val="Normal"/>
              <w:spacing w:lineRule="auto" w:line="240" w:before="0" w:after="0"/>
              <w:rPr/>
            </w:pPr>
            <w:r>
              <w:rPr/>
              <w:t>1 compartment per year commencing in year 1 then as required</w:t>
            </w:r>
          </w:p>
        </w:tc>
      </w:tr>
      <w:tr>
        <w:trPr/>
        <w:tc>
          <w:tcPr>
            <w:tcW w:w="2310" w:type="dxa"/>
            <w:tcBorders/>
            <w:shd w:fill="auto" w:val="clear"/>
          </w:tcPr>
          <w:p>
            <w:pPr>
              <w:pStyle w:val="Normal"/>
              <w:spacing w:lineRule="auto" w:line="240" w:before="0" w:after="0"/>
              <w:rPr/>
            </w:pPr>
            <w:r>
              <w:rPr/>
              <w:t>Native woodland - structure</w:t>
            </w:r>
          </w:p>
        </w:tc>
        <w:tc>
          <w:tcPr>
            <w:tcW w:w="2310" w:type="dxa"/>
            <w:tcBorders/>
            <w:shd w:fill="auto" w:val="clear"/>
          </w:tcPr>
          <w:p>
            <w:pPr>
              <w:pStyle w:val="Normal"/>
              <w:spacing w:lineRule="auto" w:line="240" w:before="0" w:after="0"/>
              <w:rPr/>
            </w:pPr>
            <w:r>
              <w:rPr/>
              <w:t>Improve the structure of understory through selective felling</w:t>
            </w:r>
          </w:p>
        </w:tc>
        <w:tc>
          <w:tcPr>
            <w:tcW w:w="2309" w:type="dxa"/>
            <w:tcBorders/>
            <w:shd w:fill="auto" w:val="clear"/>
          </w:tcPr>
          <w:p>
            <w:pPr>
              <w:pStyle w:val="Normal"/>
              <w:spacing w:lineRule="auto" w:line="240" w:before="0" w:after="0"/>
              <w:rPr/>
            </w:pPr>
            <w:r>
              <w:rPr/>
              <w:t xml:space="preserve">Identify well grown oak and other species and halo thin around to promote continued good growth. </w:t>
            </w:r>
          </w:p>
        </w:tc>
        <w:tc>
          <w:tcPr>
            <w:tcW w:w="2312" w:type="dxa"/>
            <w:tcBorders/>
            <w:shd w:fill="auto" w:val="clear"/>
          </w:tcPr>
          <w:p>
            <w:pPr>
              <w:pStyle w:val="Normal"/>
              <w:spacing w:lineRule="auto" w:line="240" w:before="0" w:after="0"/>
              <w:rPr/>
            </w:pPr>
            <w:r>
              <w:rPr/>
              <w:t xml:space="preserve">1 compartment per year commencing in year 1 </w:t>
            </w:r>
          </w:p>
        </w:tc>
      </w:tr>
      <w:tr>
        <w:trPr/>
        <w:tc>
          <w:tcPr>
            <w:tcW w:w="2310" w:type="dxa"/>
            <w:tcBorders/>
            <w:shd w:fill="auto" w:val="clear"/>
          </w:tcPr>
          <w:p>
            <w:pPr>
              <w:pStyle w:val="Normal"/>
              <w:spacing w:lineRule="auto" w:line="240" w:before="0" w:after="0"/>
              <w:rPr/>
            </w:pPr>
            <w:r>
              <w:rPr/>
              <w:t>Native woodland - coppice</w:t>
            </w:r>
          </w:p>
        </w:tc>
        <w:tc>
          <w:tcPr>
            <w:tcW w:w="2310" w:type="dxa"/>
            <w:tcBorders/>
            <w:shd w:fill="auto" w:val="clear"/>
          </w:tcPr>
          <w:p>
            <w:pPr>
              <w:pStyle w:val="Normal"/>
              <w:spacing w:lineRule="auto" w:line="240" w:before="0" w:after="0"/>
              <w:rPr/>
            </w:pPr>
            <w:r>
              <w:rPr/>
              <w:t>Create coppice beneath oak standards where possible from thinnings</w:t>
            </w:r>
          </w:p>
        </w:tc>
        <w:tc>
          <w:tcPr>
            <w:tcW w:w="2309" w:type="dxa"/>
            <w:tcBorders/>
            <w:shd w:fill="auto" w:val="clear"/>
          </w:tcPr>
          <w:p>
            <w:pPr>
              <w:pStyle w:val="Normal"/>
              <w:spacing w:lineRule="auto" w:line="240" w:before="0" w:after="0"/>
              <w:rPr/>
            </w:pPr>
            <w:r>
              <w:rPr/>
              <w:t>Allow stumps from thinning to regrow. Identify over mature coppice stools and coppice</w:t>
            </w:r>
          </w:p>
        </w:tc>
        <w:tc>
          <w:tcPr>
            <w:tcW w:w="2312" w:type="dxa"/>
            <w:tcBorders/>
            <w:shd w:fill="auto" w:val="clear"/>
          </w:tcPr>
          <w:p>
            <w:pPr>
              <w:pStyle w:val="Normal"/>
              <w:spacing w:lineRule="auto" w:line="240" w:before="0" w:after="0"/>
              <w:rPr/>
            </w:pPr>
            <w:r>
              <w:rPr/>
              <w:t xml:space="preserve">1 compartment per year commencing in year 1 </w:t>
            </w:r>
          </w:p>
        </w:tc>
      </w:tr>
      <w:tr>
        <w:trPr/>
        <w:tc>
          <w:tcPr>
            <w:tcW w:w="2310" w:type="dxa"/>
            <w:tcBorders/>
            <w:shd w:fill="auto" w:val="clear"/>
          </w:tcPr>
          <w:p>
            <w:pPr>
              <w:pStyle w:val="Normal"/>
              <w:spacing w:lineRule="auto" w:line="240" w:before="0" w:after="0"/>
              <w:rPr/>
            </w:pPr>
            <w:r>
              <w:rPr/>
              <w:t>Native woodland - deadwood</w:t>
            </w:r>
          </w:p>
        </w:tc>
        <w:tc>
          <w:tcPr>
            <w:tcW w:w="2310" w:type="dxa"/>
            <w:tcBorders/>
            <w:shd w:fill="auto" w:val="clear"/>
          </w:tcPr>
          <w:p>
            <w:pPr>
              <w:pStyle w:val="Normal"/>
              <w:spacing w:lineRule="auto" w:line="240" w:before="0" w:after="0"/>
              <w:rPr/>
            </w:pPr>
            <w:r>
              <w:rPr/>
              <w:t xml:space="preserve">Maintain volume of deadwood present on site </w:t>
            </w:r>
          </w:p>
        </w:tc>
        <w:tc>
          <w:tcPr>
            <w:tcW w:w="2309" w:type="dxa"/>
            <w:tcBorders/>
            <w:shd w:fill="auto" w:val="clear"/>
          </w:tcPr>
          <w:p>
            <w:pPr>
              <w:pStyle w:val="Normal"/>
              <w:spacing w:lineRule="auto" w:line="240" w:before="0" w:after="0"/>
              <w:rPr/>
            </w:pPr>
            <w:r>
              <w:rPr/>
              <w:t>Stack existing fallen deadwood into habitat piles. Identify where standing deadwood can be safely left</w:t>
            </w:r>
          </w:p>
        </w:tc>
        <w:tc>
          <w:tcPr>
            <w:tcW w:w="2312" w:type="dxa"/>
            <w:tcBorders/>
            <w:shd w:fill="auto" w:val="clear"/>
          </w:tcPr>
          <w:p>
            <w:pPr>
              <w:pStyle w:val="Normal"/>
              <w:spacing w:lineRule="auto" w:line="240" w:before="0" w:after="0"/>
              <w:rPr/>
            </w:pPr>
            <w:r>
              <w:rPr/>
              <w:t xml:space="preserve">1 compartment per year commencing in year 1 </w:t>
            </w:r>
          </w:p>
        </w:tc>
      </w:tr>
      <w:tr>
        <w:trPr/>
        <w:tc>
          <w:tcPr>
            <w:tcW w:w="2310" w:type="dxa"/>
            <w:tcBorders/>
            <w:shd w:fill="auto" w:val="clear"/>
          </w:tcPr>
          <w:p>
            <w:pPr>
              <w:pStyle w:val="Normal"/>
              <w:spacing w:lineRule="auto" w:line="240" w:before="0" w:after="0"/>
              <w:rPr/>
            </w:pPr>
            <w:r>
              <w:rPr/>
              <w:t>Timber</w:t>
            </w:r>
          </w:p>
        </w:tc>
        <w:tc>
          <w:tcPr>
            <w:tcW w:w="2310" w:type="dxa"/>
            <w:tcBorders/>
            <w:shd w:fill="auto" w:val="clear"/>
          </w:tcPr>
          <w:p>
            <w:pPr>
              <w:pStyle w:val="Normal"/>
              <w:spacing w:lineRule="auto" w:line="240" w:before="0" w:after="0"/>
              <w:rPr/>
            </w:pPr>
            <w:r>
              <w:rPr/>
              <w:t>Assessment of yield</w:t>
            </w:r>
          </w:p>
        </w:tc>
        <w:tc>
          <w:tcPr>
            <w:tcW w:w="2309" w:type="dxa"/>
            <w:tcBorders/>
            <w:shd w:fill="auto" w:val="clear"/>
          </w:tcPr>
          <w:p>
            <w:pPr>
              <w:pStyle w:val="Normal"/>
              <w:spacing w:lineRule="auto" w:line="240" w:before="0" w:after="0"/>
              <w:rPr/>
            </w:pPr>
            <w:r>
              <w:rPr/>
              <w:t>Record felled volumes including all</w:t>
            </w:r>
          </w:p>
        </w:tc>
        <w:tc>
          <w:tcPr>
            <w:tcW w:w="2312" w:type="dxa"/>
            <w:tcBorders/>
            <w:shd w:fill="auto" w:val="clear"/>
          </w:tcPr>
          <w:p>
            <w:pPr>
              <w:pStyle w:val="Normal"/>
              <w:spacing w:lineRule="auto" w:line="240" w:before="0" w:after="0"/>
              <w:rPr/>
            </w:pPr>
            <w:r>
              <w:rPr/>
              <w:t>Annually</w:t>
            </w:r>
          </w:p>
        </w:tc>
      </w:tr>
      <w:tr>
        <w:trPr/>
        <w:tc>
          <w:tcPr>
            <w:tcW w:w="2310" w:type="dxa"/>
            <w:tcBorders/>
            <w:shd w:fill="auto" w:val="clear"/>
          </w:tcPr>
          <w:p>
            <w:pPr>
              <w:pStyle w:val="Normal"/>
              <w:spacing w:lineRule="auto" w:line="240" w:before="0" w:after="0"/>
              <w:rPr/>
            </w:pPr>
            <w:r>
              <w:rPr/>
            </w:r>
          </w:p>
        </w:tc>
        <w:tc>
          <w:tcPr>
            <w:tcW w:w="2310" w:type="dxa"/>
            <w:tcBorders/>
            <w:shd w:fill="auto" w:val="clear"/>
          </w:tcPr>
          <w:p>
            <w:pPr>
              <w:pStyle w:val="Normal"/>
              <w:spacing w:lineRule="auto" w:line="240" w:before="0" w:after="0"/>
              <w:rPr/>
            </w:pPr>
            <w:r>
              <w:rPr/>
            </w:r>
          </w:p>
        </w:tc>
        <w:tc>
          <w:tcPr>
            <w:tcW w:w="2309" w:type="dxa"/>
            <w:tcBorders/>
            <w:shd w:fill="auto" w:val="clear"/>
          </w:tcPr>
          <w:p>
            <w:pPr>
              <w:pStyle w:val="Normal"/>
              <w:spacing w:lineRule="auto" w:line="240" w:before="0" w:after="0"/>
              <w:rPr/>
            </w:pPr>
            <w:r>
              <w:rPr/>
            </w:r>
          </w:p>
        </w:tc>
        <w:tc>
          <w:tcPr>
            <w:tcW w:w="2312" w:type="dxa"/>
            <w:tcBorders/>
            <w:shd w:fill="auto" w:val="clear"/>
          </w:tcPr>
          <w:p>
            <w:pPr>
              <w:pStyle w:val="Normal"/>
              <w:spacing w:lineRule="auto" w:line="240" w:before="0" w:after="0"/>
              <w:rPr/>
            </w:pPr>
            <w:r>
              <w:rPr/>
            </w:r>
          </w:p>
        </w:tc>
      </w:tr>
      <w:tr>
        <w:trPr/>
        <w:tc>
          <w:tcPr>
            <w:tcW w:w="2310" w:type="dxa"/>
            <w:tcBorders/>
            <w:shd w:fill="auto" w:val="clear"/>
          </w:tcPr>
          <w:p>
            <w:pPr>
              <w:pStyle w:val="Normal"/>
              <w:spacing w:lineRule="auto" w:line="240" w:before="0" w:after="0"/>
              <w:rPr/>
            </w:pPr>
            <w:r>
              <w:rPr/>
            </w:r>
          </w:p>
        </w:tc>
        <w:tc>
          <w:tcPr>
            <w:tcW w:w="2310" w:type="dxa"/>
            <w:tcBorders/>
            <w:shd w:fill="auto" w:val="clear"/>
          </w:tcPr>
          <w:p>
            <w:pPr>
              <w:pStyle w:val="Normal"/>
              <w:spacing w:lineRule="auto" w:line="240" w:before="0" w:after="0"/>
              <w:rPr/>
            </w:pPr>
            <w:r>
              <w:rPr/>
            </w:r>
          </w:p>
        </w:tc>
        <w:tc>
          <w:tcPr>
            <w:tcW w:w="2309" w:type="dxa"/>
            <w:tcBorders/>
            <w:shd w:fill="auto" w:val="clear"/>
          </w:tcPr>
          <w:p>
            <w:pPr>
              <w:pStyle w:val="Normal"/>
              <w:spacing w:lineRule="auto" w:line="240" w:before="0" w:after="0"/>
              <w:rPr/>
            </w:pPr>
            <w:r>
              <w:rPr/>
            </w:r>
          </w:p>
        </w:tc>
        <w:tc>
          <w:tcPr>
            <w:tcW w:w="2312" w:type="dxa"/>
            <w:tcBorders/>
            <w:shd w:fill="auto" w:val="clear"/>
          </w:tcPr>
          <w:p>
            <w:pPr>
              <w:pStyle w:val="Normal"/>
              <w:spacing w:lineRule="auto" w:line="240" w:before="0" w:after="0"/>
              <w:rPr/>
            </w:pPr>
            <w:r>
              <w:rPr/>
            </w:r>
          </w:p>
        </w:tc>
      </w:tr>
      <w:tr>
        <w:trPr/>
        <w:tc>
          <w:tcPr>
            <w:tcW w:w="2310" w:type="dxa"/>
            <w:tcBorders/>
            <w:shd w:fill="auto" w:val="clear"/>
          </w:tcPr>
          <w:p>
            <w:pPr>
              <w:pStyle w:val="Normal"/>
              <w:spacing w:lineRule="auto" w:line="240" w:before="0" w:after="0"/>
              <w:rPr/>
            </w:pPr>
            <w:r>
              <w:rPr/>
            </w:r>
          </w:p>
        </w:tc>
        <w:tc>
          <w:tcPr>
            <w:tcW w:w="2310" w:type="dxa"/>
            <w:tcBorders/>
            <w:shd w:fill="auto" w:val="clear"/>
          </w:tcPr>
          <w:p>
            <w:pPr>
              <w:pStyle w:val="Normal"/>
              <w:spacing w:lineRule="auto" w:line="240" w:before="0" w:after="0"/>
              <w:rPr/>
            </w:pPr>
            <w:r>
              <w:rPr/>
            </w:r>
          </w:p>
        </w:tc>
        <w:tc>
          <w:tcPr>
            <w:tcW w:w="2309" w:type="dxa"/>
            <w:tcBorders/>
            <w:shd w:fill="auto" w:val="clear"/>
          </w:tcPr>
          <w:p>
            <w:pPr>
              <w:pStyle w:val="Normal"/>
              <w:spacing w:lineRule="auto" w:line="240" w:before="0" w:after="0"/>
              <w:rPr/>
            </w:pPr>
            <w:r>
              <w:rPr/>
            </w:r>
          </w:p>
        </w:tc>
        <w:tc>
          <w:tcPr>
            <w:tcW w:w="2312" w:type="dxa"/>
            <w:tcBorders/>
            <w:shd w:fill="auto" w:val="clear"/>
          </w:tcPr>
          <w:p>
            <w:pPr>
              <w:pStyle w:val="Normal"/>
              <w:spacing w:lineRule="auto" w:line="240" w:before="0" w:after="0"/>
              <w:rPr/>
            </w:pPr>
            <w:r>
              <w:rPr/>
            </w:r>
          </w:p>
        </w:tc>
      </w:tr>
    </w:tbl>
    <w:p>
      <w:pPr>
        <w:pStyle w:val="Normal"/>
        <w:rPr/>
      </w:pPr>
      <w:r>
        <w:rPr/>
      </w:r>
    </w:p>
    <w:p>
      <w:pPr>
        <w:pStyle w:val="Normal"/>
        <w:rPr/>
      </w:pPr>
      <w:r>
        <w:rPr/>
      </w:r>
    </w:p>
    <w:p>
      <w:pPr>
        <w:pStyle w:val="Normal"/>
        <w:rPr/>
      </w:pPr>
      <w:r>
        <w:rPr/>
        <w:t>NOTES:</w:t>
      </w:r>
    </w:p>
    <w:p>
      <w:pPr>
        <w:pStyle w:val="Normal"/>
        <w:rPr/>
      </w:pPr>
      <w:r>
        <w:rPr/>
      </w:r>
    </w:p>
    <w:p>
      <w:pPr>
        <w:pStyle w:val="Normal"/>
        <w:rPr/>
      </w:pPr>
      <w:bookmarkStart w:id="2" w:name="__DdeLink__593_3213060099"/>
      <w:bookmarkEnd w:id="2"/>
      <w:r>
        <w:rPr/>
        <w:t>Following from site assessment in December 2021 it has been determined that specimens with Ash dieback be cleared first to reduce potential risk of harm to volunteers and visitors to the site. This does not affect too much the work plans of the group. I would suggest infected trees adjacent to buildings and footpaths be attended to first to reduce risk on future work days. Infected trees can be pollarded in the meantime to not impact as much on the current work plan.</w:t>
      </w:r>
    </w:p>
    <w:p>
      <w:pPr>
        <w:pStyle w:val="Normal"/>
        <w:rPr/>
      </w:pPr>
      <w:r>
        <w:rPr/>
      </w:r>
      <w:bookmarkStart w:id="3" w:name="__DdeLink__593_3213060099"/>
      <w:bookmarkStart w:id="4" w:name="__DdeLink__593_3213060099"/>
      <w:bookmarkEnd w:id="4"/>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b/>
          <w:b/>
        </w:rPr>
      </w:pPr>
      <w:r>
        <w:rPr>
          <w:b/>
        </w:rPr>
        <w:t>Timber Yield assessment</w:t>
      </w:r>
    </w:p>
    <w:p>
      <w:pPr>
        <w:pStyle w:val="Normal"/>
        <w:rPr/>
      </w:pPr>
      <w:r>
        <w:rPr/>
        <w:t>It is not yet possible to determine precise yields. The tree are well spaced and so stem density is quite low except in places where regeneration has established.</w:t>
      </w:r>
    </w:p>
    <w:p>
      <w:pPr>
        <w:pStyle w:val="Normal"/>
        <w:rPr/>
      </w:pPr>
      <w:r>
        <w:rPr/>
        <w:t>Estimated value of 10-15cu metres of woodfuel quality timber from thinning coppice and windblows can be harvested per compartment during the initial clearance and thinning. This gives a total yields on 60-90cu m harvested over 6 years.</w:t>
      </w:r>
    </w:p>
    <w:p>
      <w:pPr>
        <w:pStyle w:val="Normal"/>
        <w:rPr/>
      </w:pPr>
      <w:r>
        <w:rPr/>
        <w:t>Actual volumes that can be harvested will depend on:</w:t>
      </w:r>
    </w:p>
    <w:p>
      <w:pPr>
        <w:pStyle w:val="ListParagraph"/>
        <w:numPr>
          <w:ilvl w:val="0"/>
          <w:numId w:val="2"/>
        </w:numPr>
        <w:rPr/>
      </w:pPr>
      <w:r>
        <w:rPr/>
        <w:t>No of volunteers</w:t>
      </w:r>
    </w:p>
    <w:p>
      <w:pPr>
        <w:pStyle w:val="ListParagraph"/>
        <w:numPr>
          <w:ilvl w:val="0"/>
          <w:numId w:val="2"/>
        </w:numPr>
        <w:rPr/>
      </w:pPr>
      <w:r>
        <w:rPr/>
        <w:t>Hours/days worked</w:t>
      </w:r>
    </w:p>
    <w:p>
      <w:pPr>
        <w:pStyle w:val="ListParagraph"/>
        <w:numPr>
          <w:ilvl w:val="0"/>
          <w:numId w:val="2"/>
        </w:numPr>
        <w:rPr/>
      </w:pPr>
      <w:r>
        <w:rPr/>
        <w:t>Ease of access for both work and extraction</w:t>
      </w:r>
    </w:p>
    <w:p>
      <w:pPr>
        <w:pStyle w:val="Normal"/>
        <w:rPr/>
      </w:pPr>
      <w:r>
        <w:rPr/>
        <w:t>In future as re-assessment will need to be made of the density and regrow of coppice from existing stools and thinning. Coppice yield per hectare will be comparatively low due to the low stool density.</w:t>
      </w:r>
    </w:p>
    <w:p>
      <w:pPr>
        <w:pStyle w:val="Normal"/>
        <w:spacing w:before="0" w:after="200"/>
        <w:rPr/>
      </w:pPr>
      <w:r>
        <w:rPr/>
      </w:r>
    </w:p>
    <w:sectPr>
      <w:type w:val="nextPage"/>
      <w:pgSz w:w="11906" w:h="16838"/>
      <w:pgMar w:left="1440" w:right="1440" w:header="0" w:top="1440" w:footer="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Century Gothic">
    <w:charset w:val="00"/>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GB"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GB"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93106"/>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GB" w:eastAsia="en-US" w:bidi="ar-SA"/>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a66cfe"/>
    <w:rPr>
      <w:rFonts w:ascii="Tahoma" w:hAnsi="Tahoma" w:cs="Tahoma"/>
      <w:sz w:val="16"/>
      <w:szCs w:val="16"/>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BalloonText">
    <w:name w:val="Balloon Text"/>
    <w:basedOn w:val="Normal"/>
    <w:link w:val="BalloonTextChar"/>
    <w:uiPriority w:val="99"/>
    <w:semiHidden/>
    <w:unhideWhenUsed/>
    <w:qFormat/>
    <w:rsid w:val="00a66cfe"/>
    <w:pPr>
      <w:spacing w:lineRule="auto" w:line="240" w:before="0" w:after="0"/>
    </w:pPr>
    <w:rPr>
      <w:rFonts w:ascii="Tahoma" w:hAnsi="Tahoma" w:cs="Tahoma"/>
      <w:sz w:val="16"/>
      <w:szCs w:val="16"/>
    </w:rPr>
  </w:style>
  <w:style w:type="paragraph" w:styleId="ListParagraph">
    <w:name w:val="List Paragraph"/>
    <w:basedOn w:val="Normal"/>
    <w:uiPriority w:val="34"/>
    <w:qFormat/>
    <w:rsid w:val="00605656"/>
    <w:pPr>
      <w:spacing w:before="0" w:after="200"/>
      <w:ind w:left="720" w:hanging="0"/>
      <w:contextualSpacing/>
    </w:pPr>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59"/>
    <w:rsid w:val="00f0409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96114-C36E-40AE-A24C-F50666041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Application>LibreOffice/6.3.3.2$Windows_X86_64 LibreOffice_project/a64200df03143b798afd1ec74a12ab50359878ed</Application>
  <Pages>8</Pages>
  <Words>1328</Words>
  <Characters>6773</Characters>
  <CharactersWithSpaces>7971</CharactersWithSpaces>
  <Paragraphs>163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2021-12-08T10:31:00Z</dcterms:created>
  <dc:creator>garethe</dc:creator>
  <dc:description/>
  <dc:language>en-GB</dc:language>
  <cp:lastModifiedBy/>
  <cp:lastPrinted>2012-11-29T15:23:00Z</cp:lastPrinted>
  <dcterms:modified xsi:type="dcterms:W3CDTF">2022-01-06T14:20:06Z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4</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